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13301" w:rsidRDefault="00D13301" w:rsidP="00D13301">
      <w:pPr>
        <w:jc w:val="center"/>
        <w:rPr>
          <w:rFonts w:ascii="方正小标宋简体" w:eastAsia="方正小标宋简体" w:hint="eastAsia"/>
          <w:sz w:val="44"/>
          <w:szCs w:val="44"/>
        </w:rPr>
      </w:pPr>
      <w:r w:rsidRPr="00D13301">
        <w:rPr>
          <w:rFonts w:ascii="方正小标宋简体" w:eastAsia="方正小标宋简体" w:hint="eastAsia"/>
          <w:sz w:val="44"/>
          <w:szCs w:val="44"/>
        </w:rPr>
        <w:t>2019年全市人防工作总结</w:t>
      </w:r>
    </w:p>
    <w:p w:rsidR="00D13301" w:rsidRPr="00D13301" w:rsidRDefault="00D13301" w:rsidP="00D13301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D13301" w:rsidRPr="00D13301" w:rsidRDefault="00D13301" w:rsidP="00D13301">
      <w:pPr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D13301">
        <w:rPr>
          <w:rFonts w:ascii="仿宋_GB2312" w:eastAsia="仿宋_GB2312" w:hint="eastAsia"/>
          <w:sz w:val="32"/>
          <w:szCs w:val="32"/>
        </w:rPr>
        <w:t>2019年，全市人防工作坚持以习近平新时代中国特色社会主义思想为指导，围绕有效履行战时防空、平时服务、应急支援职能使命，坚持备战牵引，注重融合发展，突出创新驱动，聚力打造“六个人防”苏州模式，取得明显成效。年底，在全省人防年度综合考核中排名第一。</w:t>
      </w:r>
    </w:p>
    <w:p w:rsidR="00D13301" w:rsidRPr="00D13301" w:rsidRDefault="00D13301" w:rsidP="00D13301">
      <w:pPr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D13301">
        <w:rPr>
          <w:rFonts w:ascii="仿宋_GB2312" w:eastAsia="仿宋_GB2312" w:hint="eastAsia"/>
          <w:sz w:val="32"/>
          <w:szCs w:val="32"/>
        </w:rPr>
        <w:t>一、坚持政治统领，“铸魂人防”强根固本。始终把政治建设摆在首位，突出全面从严治党，坚定政治信念、铸牢精神支柱。一是用创新理论铸魂。扎实开展“不忘初心、牢记使命”主题教育，坚持中心组理论学习、“三会一课”、“三学一过”制度，用好“学习强国”平台，深入学习习近平新时代中国特色社会主义思想，切实学懂弄通做实，不断增强“四个意识”，坚定“四个自信”，做到“两个维护”。二是用先进文化引领。围绕庆祝新中国成立70周年，开展人防系列主题文化活动，讲好人防故事，弘扬主旋律、激发正能量；深化人防宣传教育，张家港探索宣教馆“一镇一馆”模式、太仓在主流媒体开辟“住建（人防）三人谈”专栏、姑苏区普及社区人防宣传等，均取得明显成效，人防社会影响力日益扩大。三是用专项治理检验。将人防专项治理作为检验政治成色的“试金石”，坚决贯彻省、市有关治理工作部署要求，紧盯问题不放松，深挖严查不手软,突出抓好易地</w:t>
      </w:r>
      <w:r w:rsidRPr="00D13301">
        <w:rPr>
          <w:rFonts w:ascii="仿宋_GB2312" w:eastAsia="仿宋_GB2312" w:hint="eastAsia"/>
          <w:sz w:val="32"/>
          <w:szCs w:val="32"/>
        </w:rPr>
        <w:lastRenderedPageBreak/>
        <w:t>建设费追缴，协调市政府多次召开推进会，强化工作督导、因地精准施策，提前一个月完成100%追缴任务，受到李亚平市长的充分肯定。四是用制度机制固化。深入贯彻党的十九届四中全会精神，把制度建设贯穿人防发展全过程。各级结合政治巡察、专项治理中查摆的问题，健全完善制度机制，不断推进人防治理体系和治理能力现代化。健全机关内部管理制度，严格规范战备、训练和工作秩序，强化绩效考评和纪律约束。健全党风廉政建设责任制，严格落实主体责任和“一岗双责”，强化执纪监督问责。市本级结合主题教育，组织党员开展“四重四亮”活动，赴延安和梁家河等地接受党性锤炼；打造“融心、融力、融智”党建品牌，相关做法在国家机关《旗帜网》刊载。健全安全工作机制，加强安全教育、形势分析、风险评估，开展安全隐患大排查大整治活动，确保“迎大庆、防风险、保安全”工作落地见效。</w:t>
      </w:r>
    </w:p>
    <w:p w:rsidR="00D13301" w:rsidRPr="00D13301" w:rsidRDefault="00D13301" w:rsidP="00D13301">
      <w:pPr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D13301">
        <w:rPr>
          <w:rFonts w:ascii="仿宋_GB2312" w:eastAsia="仿宋_GB2312" w:hint="eastAsia"/>
          <w:sz w:val="32"/>
          <w:szCs w:val="32"/>
        </w:rPr>
        <w:t>二、坚持实战牵引，“备战人防”深入推进。坚持“战时怎么防、平时怎么练”，扎实做好防空袭斗争准备。一是优化指挥体系。适应机构改革调整，优化指挥要素配置，调整战时人防指挥所成员，落实实名制要求；修订完善《人民防空方案》；组织指挥场所升级改造，各地坚持机动指挥所“周发动、月出动、季拉动”制度。二是突出试点牵引。组织重要经济目标分类分级核查，完成基于低空预警雷达综合防护系统建设，开展训练演练、检验了系统作战效能。三是</w:t>
      </w:r>
      <w:r w:rsidRPr="00D13301">
        <w:rPr>
          <w:rFonts w:ascii="仿宋_GB2312" w:eastAsia="仿宋_GB2312" w:hint="eastAsia"/>
          <w:sz w:val="32"/>
          <w:szCs w:val="32"/>
        </w:rPr>
        <w:lastRenderedPageBreak/>
        <w:t>狠抓训练演练。持续抓好人防训练落实，组织指挥通信干部集训，开展专业队整组训练。突出实战化演练，先后圆满组织“4·27”苏州解放日拉练、苏青嘉长三角一体化跨区联合演练、“9·18”警报试鸣暨人口疏散演练；10月份，市本级带张家港、吴江区参加全省人民防空综合演习，被通报表彰为演习先进单位。</w:t>
      </w:r>
    </w:p>
    <w:p w:rsidR="00D13301" w:rsidRPr="00D13301" w:rsidRDefault="00D13301" w:rsidP="00D13301">
      <w:pPr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D13301">
        <w:rPr>
          <w:rFonts w:ascii="仿宋_GB2312" w:eastAsia="仿宋_GB2312" w:hint="eastAsia"/>
          <w:sz w:val="32"/>
          <w:szCs w:val="32"/>
        </w:rPr>
        <w:t>三、坚持信息主导，“智慧人防”初见成效。以信息系统为基础、大数据应用为重点、综合集成为途径，推动各防护力量、防护单元、防护要素融合集成为整体防护格局，提升基于信息系统的体系防护能力。一是加强信息系统建设。按省办统一部署，完成国防动员网、北斗4G指挥信息系统、重要经济目标数据库建设，开展指挥平台和指挥场所信息化改造。二是加强通信警报建设。落实通信战备值班，加强通信保障；高标准完成警报规划和“9·18”警报试鸣任务；认真参加全省无线电应急通信和无人机飞控竞赛，获团体一等奖。三是加强“智慧人防”建设。各地适应“智慧苏州”建设要求，进一步探索推进“智慧人防”建设，常熟市利用手机APP实现人防工程“掌上”管理，昆山市、吴中区推进防护设备菜单化、精细化管理。市本级组织“智慧人防”一期项目建设，完成系统开发、等级保护、功能测评和专家验收，在2019年度中科院大数据政府行业应用评选中荣获“优秀建设案例奖”。</w:t>
      </w:r>
    </w:p>
    <w:p w:rsidR="00D13301" w:rsidRPr="00D13301" w:rsidRDefault="00D13301" w:rsidP="00D13301">
      <w:pPr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D13301">
        <w:rPr>
          <w:rFonts w:ascii="仿宋_GB2312" w:eastAsia="仿宋_GB2312" w:hint="eastAsia"/>
          <w:sz w:val="32"/>
          <w:szCs w:val="32"/>
        </w:rPr>
        <w:lastRenderedPageBreak/>
        <w:t>四、坚持服务大局，“融合人防”行稳致远。坚持把人防工作融入经济社会发展体系，防止系统内自我设计、自我循环、自我检验，走出了一条融合开放式的发展之路。一是融入国家发展“大战略”。深入贯彻长三角一体化发展国家战略。市本级、吴江区联合上海青浦、浙江嘉兴，建立长三角一体化示范区人民防空协同发展机制，先后组织理论研讨、装备联调、跨区演练等区域一体化活动。深入贯彻乡村振兴战略。将疏散基地建设融入美丽乡村建设，张家港凤凰、常熟尚湖、太仓电站村、吴中临湖等疏散基地，成为美丽乡村建设的独特风景，发挥出了战备、经济、社会、生态综合效益。二是融入经济社会“大格局”。充分发挥人防资源服务经济社会功能，加大平战结合力度，提升开发利用效益。全年结合轨道交通、乡村振兴、小区改造、停车场建设等，全市在建20余个自建工程，昆山市两个自建项目被列入昆山年度重点工程，太仓市六大项目、吴中区太湖新城、相城区基本指挥所等项目均按计划推进，既通过投资拉动了经济增长，又通过兴建地下商场、地下综合体等，推动服务业发展，为促进经济转型升级、增强经济活力作出贡献。三是融入城市建设“大体系”。坚持将人防建设融入城市建设全过程，依据城市总体规划制订人防发展规划，启动“十四五”人防发展规划编制，修编《苏州市人防工程建设规划（2020-2035）》；结合轨道交通、地下管廊、海绵城市建设</w:t>
      </w:r>
      <w:r w:rsidRPr="00D13301">
        <w:rPr>
          <w:rFonts w:ascii="仿宋_GB2312" w:eastAsia="仿宋_GB2312" w:hint="eastAsia"/>
          <w:sz w:val="32"/>
          <w:szCs w:val="32"/>
        </w:rPr>
        <w:lastRenderedPageBreak/>
        <w:t>等，采取融合式、嵌入式、同步式等方式，配套建设人防设施，落实兼顾设防要求；加强机构改革指导，理顺工作关系，规范工作流程，县级市（区）人防部门拓宽建设思路，主动融入住建系统，推动人防住建同频共振、融合发展。四是融入民生实事“大项目”。深化人民防空为人民理念，加大人防资源服务民生力度，满足人民对美好生活的需要。全年新增停车位3.45万个，各地结合轨道交通、公共场所、学校设施等建设的自建工程，全部是改善环境、促进就业、方便生活的民生实事项目，赢得人民群众的充分认同。</w:t>
      </w:r>
    </w:p>
    <w:p w:rsidR="00D13301" w:rsidRPr="00D13301" w:rsidRDefault="00D13301" w:rsidP="00D13301">
      <w:pPr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D13301">
        <w:rPr>
          <w:rFonts w:ascii="仿宋_GB2312" w:eastAsia="仿宋_GB2312" w:hint="eastAsia"/>
          <w:sz w:val="32"/>
          <w:szCs w:val="32"/>
        </w:rPr>
        <w:t>五、坚持依法治理，“法治人防”逐步完善。坚持把法治建设作为推动人防高质量发展的基本保障，不断提升人防法治化水平。一是法规政策进一步完善。推进《苏州市人防工程建设管理条例》立法调研；联合物价、财政出台《关于调整苏州市防空地下室易地建设费收费标准的通知》；制订《强监管优服务提效能工作实施意见》等制度文件。二是行政行为进一步规范。落实“放管服”要求，将行政权力下放至县市（区）人防部门和国家级开发区，加强行政指导，优化审批流程，实现“一网通办”；制定易地建设费减免正面清单，组织防空地下室建设清查，推进防护（防化）设备资质抽查、防护企业资产核查。三是法治监督不断加强。组织行政执法检查、执法案卷评审，落实行政执法记录和公示制度；加强对违规出售、出租人防停车位等问题的监督和处罚；</w:t>
      </w:r>
      <w:r w:rsidRPr="00D13301">
        <w:rPr>
          <w:rFonts w:ascii="仿宋_GB2312" w:eastAsia="仿宋_GB2312" w:hint="eastAsia"/>
          <w:sz w:val="32"/>
          <w:szCs w:val="32"/>
        </w:rPr>
        <w:lastRenderedPageBreak/>
        <w:t>推进信用体系建设，组织质量和诚信体系评价，规范市场行为。加强人防执法队伍建设；加强信息发布和政策解读，及时回应社会关切。市本级受理答复群众投诉及咨询150余件。</w:t>
      </w:r>
    </w:p>
    <w:p w:rsidR="00D13301" w:rsidRPr="00D13301" w:rsidRDefault="00D13301" w:rsidP="00D13301">
      <w:pPr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D13301">
        <w:rPr>
          <w:rFonts w:ascii="仿宋_GB2312" w:eastAsia="仿宋_GB2312" w:hint="eastAsia"/>
          <w:sz w:val="32"/>
          <w:szCs w:val="32"/>
        </w:rPr>
        <w:t>六、坚持探索引领，“创新人防”彰显活力。坚持把创新作为新时代人防高质量发展的不竭动力，大力弘扬苏州“三大法宝”，将创新贯穿人防建设全过程，探寻新时代人民防空高质量发展的新路径。一是开展“互联网+”等创新活动。探索BIM与IOT技术管理人防工程新模式，编制人防通风口部及管道标准化设计标准，推动人防工程实现信息化、网格化、数字化、智能化维护管理。工业园区、高新区健全完善政府购买服务工作机制，有效解决了人少事多的矛盾。二是开展地下空间开发利用研究。发挥城市地下空间利用与安全防护技术研究院作用，在钱七虎院士的指导下，开展了《既有点式地下空间连片成网关键技术与工程应用示范》等课题研究。三是开展战时人防工程平战转换研究。在吴江区开展人防工程平战转换试点，探索研究战时人防工程内部设施布局、生存环境、人员心理特点，增强人防工程平战转换针对性、有效性。年底，吴江区《基于人因工程的人防工程实战转换技术研究》科研项目，通过省人防办课题评审,得到钱七虎院士的高度肯定。</w:t>
      </w:r>
    </w:p>
    <w:p w:rsidR="00D13301" w:rsidRPr="00D13301" w:rsidRDefault="00D13301" w:rsidP="00D13301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sectPr w:rsidR="00D13301" w:rsidRPr="00D133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6DB" w:rsidRDefault="009126DB" w:rsidP="00D13301">
      <w:r>
        <w:separator/>
      </w:r>
    </w:p>
  </w:endnote>
  <w:endnote w:type="continuationSeparator" w:id="1">
    <w:p w:rsidR="009126DB" w:rsidRDefault="009126DB" w:rsidP="00D133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01" w:rsidRDefault="00D13301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474067"/>
      <w:docPartObj>
        <w:docPartGallery w:val="Page Numbers (Bottom of Page)"/>
        <w:docPartUnique/>
      </w:docPartObj>
    </w:sdtPr>
    <w:sdtContent>
      <w:p w:rsidR="00D13301" w:rsidRDefault="00D13301">
        <w:pPr>
          <w:pStyle w:val="a4"/>
          <w:jc w:val="center"/>
        </w:pPr>
        <w:fldSimple w:instr=" PAGE   \* MERGEFORMAT ">
          <w:r w:rsidRPr="00D13301">
            <w:rPr>
              <w:noProof/>
              <w:lang w:val="zh-CN"/>
            </w:rPr>
            <w:t>1</w:t>
          </w:r>
        </w:fldSimple>
      </w:p>
    </w:sdtContent>
  </w:sdt>
  <w:p w:rsidR="00D13301" w:rsidRDefault="00D13301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01" w:rsidRDefault="00D1330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6DB" w:rsidRDefault="009126DB" w:rsidP="00D13301">
      <w:r>
        <w:separator/>
      </w:r>
    </w:p>
  </w:footnote>
  <w:footnote w:type="continuationSeparator" w:id="1">
    <w:p w:rsidR="009126DB" w:rsidRDefault="009126DB" w:rsidP="00D133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01" w:rsidRDefault="00D1330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01" w:rsidRDefault="00D1330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01" w:rsidRDefault="00D1330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3301"/>
    <w:rsid w:val="009126DB"/>
    <w:rsid w:val="00D13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133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1330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133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1330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5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92303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713860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492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2</cp:revision>
  <dcterms:created xsi:type="dcterms:W3CDTF">2020-05-13T07:50:00Z</dcterms:created>
  <dcterms:modified xsi:type="dcterms:W3CDTF">2020-05-13T07:51:00Z</dcterms:modified>
</cp:coreProperties>
</file>