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AB3655" w:rsidRPr="00EF56F0" w:rsidRDefault="00AB3655" w:rsidP="00AB3655">
      <w:pPr>
        <w:ind w:rightChars="-171" w:right="-359"/>
        <w:jc w:val="center"/>
        <w:rPr>
          <w:rFonts w:eastAsia="华文中宋"/>
          <w:b/>
          <w:bCs/>
          <w:color w:val="FF0000"/>
          <w:spacing w:val="-24"/>
          <w:w w:val="66"/>
          <w:kern w:val="11"/>
          <w:position w:val="-6"/>
          <w:sz w:val="116"/>
          <w:szCs w:val="116"/>
        </w:rPr>
      </w:pPr>
      <w:r w:rsidRPr="00EF56F0">
        <w:rPr>
          <w:rFonts w:eastAsia="华文中宋" w:hint="eastAsia"/>
          <w:b/>
          <w:bCs/>
          <w:color w:val="FF0000"/>
          <w:spacing w:val="-24"/>
          <w:w w:val="66"/>
          <w:kern w:val="11"/>
          <w:position w:val="-6"/>
          <w:sz w:val="116"/>
          <w:szCs w:val="116"/>
        </w:rPr>
        <w:t>江苏省苏州市中级人民法院</w:t>
      </w:r>
    </w:p>
    <w:p w:rsidR="00AB3655" w:rsidRDefault="00AB3655" w:rsidP="00AB3655">
      <w:pPr>
        <w:spacing w:line="400" w:lineRule="exact"/>
        <w:jc w:val="center"/>
        <w:rPr>
          <w:rFonts w:eastAsia="黑体"/>
          <w:b/>
          <w:bCs/>
          <w:sz w:val="36"/>
        </w:rPr>
      </w:pPr>
    </w:p>
    <w:p w:rsidR="00AB3655" w:rsidRDefault="00AB3655" w:rsidP="00AB3655">
      <w:pPr>
        <w:spacing w:line="400" w:lineRule="exact"/>
        <w:jc w:val="center"/>
        <w:rPr>
          <w:rFonts w:ascii="仿宋_GB2312" w:eastAsia="仿宋_GB2312"/>
          <w:sz w:val="32"/>
        </w:rPr>
      </w:pPr>
      <w:r>
        <w:rPr>
          <w:rFonts w:ascii="仿宋_GB2312" w:eastAsia="仿宋_GB2312" w:hint="eastAsia"/>
          <w:sz w:val="32"/>
        </w:rPr>
        <w:t>苏中法〔20</w:t>
      </w:r>
      <w:r w:rsidR="00692305">
        <w:rPr>
          <w:rFonts w:ascii="仿宋_GB2312" w:eastAsia="仿宋_GB2312" w:hint="eastAsia"/>
          <w:sz w:val="32"/>
        </w:rPr>
        <w:t>20</w:t>
      </w:r>
      <w:r>
        <w:rPr>
          <w:rFonts w:ascii="仿宋_GB2312" w:eastAsia="仿宋_GB2312" w:hint="eastAsia"/>
          <w:sz w:val="32"/>
        </w:rPr>
        <w:t>〕</w:t>
      </w:r>
      <w:r w:rsidR="00097497">
        <w:rPr>
          <w:rFonts w:ascii="仿宋_GB2312" w:eastAsia="仿宋_GB2312" w:hint="eastAsia"/>
          <w:sz w:val="32"/>
        </w:rPr>
        <w:t>45</w:t>
      </w:r>
      <w:r>
        <w:rPr>
          <w:rFonts w:ascii="仿宋_GB2312" w:eastAsia="仿宋_GB2312" w:hint="eastAsia"/>
          <w:sz w:val="32"/>
        </w:rPr>
        <w:t>号</w:t>
      </w:r>
    </w:p>
    <w:p w:rsidR="00AB3655" w:rsidRDefault="00AB3655" w:rsidP="00AB3655">
      <w:pPr>
        <w:spacing w:line="100" w:lineRule="exact"/>
        <w:jc w:val="center"/>
        <w:rPr>
          <w:rFonts w:ascii="仿宋_GB2312" w:eastAsia="仿宋_GB2312"/>
          <w:sz w:val="32"/>
        </w:rPr>
      </w:pPr>
    </w:p>
    <w:p w:rsidR="00AB3655" w:rsidRDefault="00E223A1" w:rsidP="00AB3655">
      <w:pPr>
        <w:spacing w:line="620" w:lineRule="exact"/>
        <w:jc w:val="center"/>
        <w:rPr>
          <w:b/>
          <w:sz w:val="10"/>
        </w:rPr>
      </w:pPr>
      <w:r>
        <w:rPr>
          <w:noProof/>
        </w:rPr>
        <w:pict>
          <v:line id="直接连接符 1"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45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" strokecolor="red" strokeweight="1.5pt"/>
        </w:pict>
      </w:r>
    </w:p>
    <w:p w:rsidR="001C7AFE" w:rsidRDefault="001C7AFE" w:rsidP="001C7AFE">
      <w:pPr>
        <w:spacing w:line="560" w:lineRule="exact"/>
        <w:rPr>
          <w:rFonts w:asciiTheme="majorEastAsia" w:eastAsiaTheme="majorEastAsia" w:hAnsiTheme="majorEastAsia"/>
          <w:b/>
          <w:sz w:val="36"/>
          <w:szCs w:val="36"/>
        </w:rPr>
      </w:pPr>
    </w:p>
    <w:p w:rsidR="00F23269" w:rsidRDefault="00692305" w:rsidP="00692305">
      <w:pPr>
        <w:spacing w:line="560" w:lineRule="exact"/>
        <w:jc w:val="center"/>
        <w:rPr>
          <w:rFonts w:asciiTheme="majorEastAsia" w:eastAsiaTheme="majorEastAsia" w:hAnsiTheme="majorEastAsia"/>
          <w:b/>
          <w:bCs/>
          <w:sz w:val="36"/>
        </w:rPr>
      </w:pPr>
      <w:r w:rsidRPr="0001361A">
        <w:rPr>
          <w:rFonts w:asciiTheme="majorEastAsia" w:eastAsiaTheme="majorEastAsia" w:hAnsiTheme="majorEastAsia" w:hint="eastAsia"/>
          <w:b/>
          <w:bCs/>
          <w:sz w:val="36"/>
        </w:rPr>
        <w:t>印发</w:t>
      </w:r>
      <w:proofErr w:type="gramStart"/>
      <w:r w:rsidRPr="0001361A">
        <w:rPr>
          <w:rFonts w:asciiTheme="majorEastAsia" w:eastAsiaTheme="majorEastAsia" w:hAnsiTheme="majorEastAsia" w:hint="eastAsia"/>
          <w:b/>
          <w:bCs/>
          <w:sz w:val="36"/>
        </w:rPr>
        <w:t>《</w:t>
      </w:r>
      <w:proofErr w:type="gramEnd"/>
      <w:r w:rsidRPr="0001361A">
        <w:rPr>
          <w:rFonts w:asciiTheme="majorEastAsia" w:eastAsiaTheme="majorEastAsia" w:hAnsiTheme="majorEastAsia" w:hint="eastAsia"/>
          <w:b/>
          <w:bCs/>
          <w:sz w:val="36"/>
        </w:rPr>
        <w:t>苏州市中级人民法院关于依法保障和促进</w:t>
      </w:r>
    </w:p>
    <w:p w:rsidR="00692305" w:rsidRPr="0001361A" w:rsidRDefault="00692305" w:rsidP="00692305">
      <w:pPr>
        <w:spacing w:line="560" w:lineRule="exact"/>
        <w:jc w:val="center"/>
        <w:rPr>
          <w:rFonts w:asciiTheme="majorEastAsia" w:eastAsiaTheme="majorEastAsia" w:hAnsiTheme="majorEastAsia"/>
          <w:b/>
          <w:bCs/>
          <w:sz w:val="36"/>
        </w:rPr>
      </w:pPr>
      <w:r w:rsidRPr="0001361A">
        <w:rPr>
          <w:rFonts w:asciiTheme="majorEastAsia" w:eastAsiaTheme="majorEastAsia" w:hAnsiTheme="majorEastAsia" w:hint="eastAsia"/>
          <w:b/>
          <w:bCs/>
          <w:sz w:val="36"/>
        </w:rPr>
        <w:t>“开放再出发”的实施意见</w:t>
      </w:r>
      <w:proofErr w:type="gramStart"/>
      <w:r w:rsidRPr="0001361A">
        <w:rPr>
          <w:rFonts w:asciiTheme="majorEastAsia" w:eastAsiaTheme="majorEastAsia" w:hAnsiTheme="majorEastAsia" w:hint="eastAsia"/>
          <w:b/>
          <w:bCs/>
          <w:sz w:val="36"/>
        </w:rPr>
        <w:t>》</w:t>
      </w:r>
      <w:proofErr w:type="gramEnd"/>
      <w:r w:rsidRPr="0001361A">
        <w:rPr>
          <w:rFonts w:asciiTheme="majorEastAsia" w:eastAsiaTheme="majorEastAsia" w:hAnsiTheme="majorEastAsia" w:hint="eastAsia"/>
          <w:b/>
          <w:bCs/>
          <w:sz w:val="36"/>
        </w:rPr>
        <w:t>的通知</w:t>
      </w:r>
    </w:p>
    <w:p w:rsidR="00692305" w:rsidRPr="00F23269" w:rsidRDefault="00692305" w:rsidP="00692305">
      <w:pPr>
        <w:spacing w:line="560" w:lineRule="exact"/>
      </w:pPr>
    </w:p>
    <w:p w:rsidR="00692305" w:rsidRPr="00692305" w:rsidRDefault="00692305" w:rsidP="00692305">
      <w:pPr>
        <w:spacing w:line="560" w:lineRule="exact"/>
        <w:jc w:val="left"/>
        <w:rPr>
          <w:rFonts w:ascii="仿宋_GB2312" w:eastAsia="仿宋_GB2312"/>
          <w:sz w:val="32"/>
          <w:szCs w:val="32"/>
        </w:rPr>
      </w:pPr>
      <w:r w:rsidRPr="00692305">
        <w:rPr>
          <w:rFonts w:ascii="仿宋_GB2312" w:eastAsia="仿宋_GB2312" w:hint="eastAsia"/>
          <w:sz w:val="32"/>
          <w:szCs w:val="32"/>
        </w:rPr>
        <w:t>各市、区人民法院，</w:t>
      </w:r>
      <w:r w:rsidR="00235BE1">
        <w:rPr>
          <w:rFonts w:ascii="仿宋_GB2312" w:eastAsia="仿宋_GB2312" w:hint="eastAsia"/>
          <w:sz w:val="32"/>
          <w:szCs w:val="32"/>
        </w:rPr>
        <w:t>苏州知识产权法庭，</w:t>
      </w:r>
      <w:r w:rsidRPr="00692305">
        <w:rPr>
          <w:rFonts w:ascii="仿宋_GB2312" w:eastAsia="仿宋_GB2312" w:hint="eastAsia"/>
          <w:sz w:val="32"/>
          <w:szCs w:val="32"/>
        </w:rPr>
        <w:t>本院各部门：</w:t>
      </w:r>
    </w:p>
    <w:p w:rsidR="00692305" w:rsidRDefault="00692305" w:rsidP="00692305">
      <w:pPr>
        <w:spacing w:line="560" w:lineRule="exact"/>
        <w:ind w:firstLine="420"/>
        <w:jc w:val="left"/>
        <w:rPr>
          <w:rFonts w:ascii="仿宋_GB2312" w:eastAsia="仿宋_GB2312"/>
          <w:sz w:val="32"/>
          <w:szCs w:val="32"/>
        </w:rPr>
      </w:pPr>
      <w:r w:rsidRPr="00692305">
        <w:rPr>
          <w:rFonts w:ascii="仿宋_GB2312" w:eastAsia="仿宋_GB2312" w:hint="eastAsia"/>
          <w:sz w:val="32"/>
          <w:szCs w:val="32"/>
        </w:rPr>
        <w:t>《苏州市中级人民法院关于依法保障和促进“开放再出发”的实施意见》已经市中院院长办公会议讨论通过，现印发给你们，请认真学习领会，结合实际抓好贯彻落实。</w:t>
      </w:r>
    </w:p>
    <w:p w:rsidR="00692305" w:rsidRDefault="00692305" w:rsidP="00692305">
      <w:pPr>
        <w:spacing w:line="560" w:lineRule="exact"/>
        <w:jc w:val="left"/>
        <w:rPr>
          <w:rFonts w:ascii="仿宋_GB2312" w:eastAsia="仿宋_GB2312"/>
          <w:sz w:val="32"/>
          <w:szCs w:val="32"/>
        </w:rPr>
      </w:pPr>
    </w:p>
    <w:p w:rsidR="00692305" w:rsidRDefault="00692305" w:rsidP="00692305">
      <w:pPr>
        <w:spacing w:line="560" w:lineRule="exact"/>
        <w:jc w:val="left"/>
        <w:rPr>
          <w:rFonts w:ascii="仿宋_GB2312" w:eastAsia="仿宋_GB2312"/>
          <w:sz w:val="32"/>
          <w:szCs w:val="32"/>
        </w:rPr>
      </w:pPr>
    </w:p>
    <w:p w:rsidR="00692305" w:rsidRDefault="00692305" w:rsidP="00692305">
      <w:pPr>
        <w:spacing w:line="560" w:lineRule="exact"/>
        <w:jc w:val="left"/>
        <w:rPr>
          <w:rFonts w:ascii="仿宋_GB2312" w:eastAsia="仿宋_GB2312"/>
          <w:sz w:val="32"/>
          <w:szCs w:val="32"/>
        </w:rPr>
      </w:pPr>
      <w:bookmarkStart w:id="0" w:name="_GoBack"/>
      <w:bookmarkEnd w:id="0"/>
    </w:p>
    <w:p w:rsidR="00692305" w:rsidRDefault="00692305" w:rsidP="00692305">
      <w:pPr>
        <w:spacing w:line="560" w:lineRule="exact"/>
        <w:jc w:val="left"/>
        <w:rPr>
          <w:rFonts w:ascii="仿宋_GB2312" w:eastAsia="仿宋_GB2312"/>
          <w:sz w:val="32"/>
          <w:szCs w:val="32"/>
        </w:rPr>
      </w:pPr>
    </w:p>
    <w:p w:rsidR="00692305" w:rsidRDefault="00692305" w:rsidP="007F297E">
      <w:pPr>
        <w:spacing w:line="560" w:lineRule="exact"/>
        <w:ind w:right="640"/>
        <w:jc w:val="right"/>
        <w:rPr>
          <w:rFonts w:ascii="仿宋_GB2312" w:eastAsia="仿宋_GB2312"/>
          <w:sz w:val="32"/>
          <w:szCs w:val="32"/>
        </w:rPr>
      </w:pPr>
      <w:r>
        <w:rPr>
          <w:rFonts w:ascii="仿宋_GB2312" w:eastAsia="仿宋_GB2312" w:hint="eastAsia"/>
          <w:sz w:val="32"/>
          <w:szCs w:val="32"/>
        </w:rPr>
        <w:t>2020年3月</w:t>
      </w:r>
      <w:r w:rsidR="007F297E">
        <w:rPr>
          <w:rFonts w:ascii="仿宋_GB2312" w:eastAsia="仿宋_GB2312" w:hint="eastAsia"/>
          <w:sz w:val="32"/>
          <w:szCs w:val="32"/>
        </w:rPr>
        <w:t>12</w:t>
      </w:r>
      <w:r>
        <w:rPr>
          <w:rFonts w:ascii="仿宋_GB2312" w:eastAsia="仿宋_GB2312" w:hint="eastAsia"/>
          <w:sz w:val="32"/>
          <w:szCs w:val="32"/>
        </w:rPr>
        <w:t>日</w:t>
      </w:r>
    </w:p>
    <w:p w:rsidR="00692305" w:rsidRDefault="00692305" w:rsidP="00692305">
      <w:pPr>
        <w:spacing w:line="560" w:lineRule="exact"/>
        <w:jc w:val="left"/>
        <w:rPr>
          <w:rFonts w:ascii="仿宋_GB2312" w:eastAsia="仿宋_GB2312"/>
          <w:sz w:val="32"/>
          <w:szCs w:val="32"/>
        </w:rPr>
      </w:pPr>
    </w:p>
    <w:p w:rsidR="00692305" w:rsidRDefault="00692305" w:rsidP="00692305">
      <w:pPr>
        <w:spacing w:line="560" w:lineRule="exact"/>
        <w:jc w:val="left"/>
        <w:rPr>
          <w:rFonts w:ascii="仿宋_GB2312" w:eastAsia="仿宋_GB2312"/>
          <w:sz w:val="32"/>
          <w:szCs w:val="32"/>
        </w:rPr>
      </w:pPr>
    </w:p>
    <w:p w:rsidR="001169CA" w:rsidRDefault="001169CA" w:rsidP="00692305">
      <w:pPr>
        <w:spacing w:line="560" w:lineRule="exact"/>
        <w:jc w:val="left"/>
        <w:rPr>
          <w:rFonts w:ascii="仿宋_GB2312" w:eastAsia="仿宋_GB2312"/>
          <w:sz w:val="32"/>
          <w:szCs w:val="32"/>
        </w:rPr>
      </w:pPr>
    </w:p>
    <w:p w:rsidR="00F23269" w:rsidRDefault="00F23269" w:rsidP="00692305">
      <w:pPr>
        <w:spacing w:line="560" w:lineRule="exact"/>
        <w:jc w:val="center"/>
        <w:rPr>
          <w:rFonts w:asciiTheme="majorEastAsia" w:eastAsiaTheme="majorEastAsia" w:hAnsiTheme="majorEastAsia"/>
          <w:b/>
          <w:sz w:val="36"/>
          <w:szCs w:val="36"/>
        </w:rPr>
      </w:pPr>
    </w:p>
    <w:p w:rsidR="00F23269" w:rsidRDefault="00F23269" w:rsidP="00692305">
      <w:pPr>
        <w:spacing w:line="560" w:lineRule="exact"/>
        <w:jc w:val="center"/>
        <w:rPr>
          <w:rFonts w:asciiTheme="majorEastAsia" w:eastAsiaTheme="majorEastAsia" w:hAnsiTheme="majorEastAsia"/>
          <w:b/>
          <w:sz w:val="36"/>
          <w:szCs w:val="36"/>
        </w:rPr>
      </w:pPr>
    </w:p>
    <w:p w:rsidR="00692305" w:rsidRPr="00692305" w:rsidRDefault="00692305" w:rsidP="00692305">
      <w:pPr>
        <w:spacing w:line="560" w:lineRule="exact"/>
        <w:jc w:val="center"/>
        <w:rPr>
          <w:rFonts w:asciiTheme="majorEastAsia" w:eastAsiaTheme="majorEastAsia" w:hAnsiTheme="majorEastAsia"/>
          <w:b/>
          <w:sz w:val="36"/>
          <w:szCs w:val="36"/>
        </w:rPr>
      </w:pPr>
      <w:r w:rsidRPr="00692305">
        <w:rPr>
          <w:rFonts w:asciiTheme="majorEastAsia" w:eastAsiaTheme="majorEastAsia" w:hAnsiTheme="majorEastAsia" w:hint="eastAsia"/>
          <w:b/>
          <w:sz w:val="36"/>
          <w:szCs w:val="36"/>
        </w:rPr>
        <w:lastRenderedPageBreak/>
        <w:t>苏州市中级人民法院</w:t>
      </w:r>
    </w:p>
    <w:p w:rsidR="00692305" w:rsidRPr="00692305" w:rsidRDefault="00692305" w:rsidP="00692305">
      <w:pPr>
        <w:spacing w:line="560" w:lineRule="exact"/>
        <w:jc w:val="center"/>
        <w:rPr>
          <w:rFonts w:asciiTheme="majorEastAsia" w:eastAsiaTheme="majorEastAsia" w:hAnsiTheme="majorEastAsia"/>
          <w:b/>
          <w:sz w:val="36"/>
          <w:szCs w:val="36"/>
        </w:rPr>
      </w:pPr>
      <w:r w:rsidRPr="00692305">
        <w:rPr>
          <w:rFonts w:asciiTheme="majorEastAsia" w:eastAsiaTheme="majorEastAsia" w:hAnsiTheme="majorEastAsia" w:hint="eastAsia"/>
          <w:b/>
          <w:sz w:val="36"/>
          <w:szCs w:val="36"/>
        </w:rPr>
        <w:t>关于依法保障和促进“开放再出发”的实施意见</w:t>
      </w:r>
    </w:p>
    <w:p w:rsidR="00692305" w:rsidRPr="00692305" w:rsidRDefault="00692305" w:rsidP="00692305">
      <w:pPr>
        <w:spacing w:line="560" w:lineRule="exact"/>
        <w:ind w:firstLine="420"/>
        <w:jc w:val="left"/>
        <w:rPr>
          <w:rFonts w:ascii="仿宋_GB2312" w:eastAsia="仿宋_GB2312"/>
          <w:sz w:val="32"/>
          <w:szCs w:val="32"/>
        </w:rPr>
      </w:pP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仿宋_GB2312" w:eastAsia="仿宋_GB2312" w:hint="eastAsia"/>
          <w:sz w:val="32"/>
          <w:szCs w:val="32"/>
        </w:rPr>
        <w:t>为贯彻落实《中共苏州市委苏州市人民政府关于开放再出发的若干政策意见》，推进“思想再解放、开放再出发、目标再攀高”，推动苏州高水平开放走在最前沿，高质量发展走在</w:t>
      </w:r>
      <w:proofErr w:type="gramStart"/>
      <w:r w:rsidRPr="00692305">
        <w:rPr>
          <w:rFonts w:ascii="仿宋_GB2312" w:eastAsia="仿宋_GB2312" w:hint="eastAsia"/>
          <w:sz w:val="32"/>
          <w:szCs w:val="32"/>
        </w:rPr>
        <w:t>最</w:t>
      </w:r>
      <w:proofErr w:type="gramEnd"/>
      <w:r w:rsidRPr="00692305">
        <w:rPr>
          <w:rFonts w:ascii="仿宋_GB2312" w:eastAsia="仿宋_GB2312" w:hint="eastAsia"/>
          <w:sz w:val="32"/>
          <w:szCs w:val="32"/>
        </w:rPr>
        <w:t>前列，现从优化营商环境、促进对外开放、保障投资合作等十个方面，就积极发挥审判职能作用，依法保障和促进“开放再出发”，制定如下实施意见：</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一、优化营商环境</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1.为营造市场化、法治化、国际化营商环境提供司法支持。</w:t>
      </w:r>
      <w:r w:rsidRPr="00692305">
        <w:rPr>
          <w:rFonts w:ascii="仿宋_GB2312" w:eastAsia="仿宋_GB2312" w:hint="eastAsia"/>
          <w:sz w:val="32"/>
          <w:szCs w:val="32"/>
        </w:rPr>
        <w:t>树立谦抑、审慎、善意、文明、规范的司法理念，为打造“苏州最舒心”营商服务品牌，塑造“</w:t>
      </w:r>
      <w:r w:rsidRPr="00692305">
        <w:rPr>
          <w:rFonts w:ascii="仿宋_GB2312" w:eastAsia="仿宋_GB2312"/>
          <w:sz w:val="32"/>
          <w:szCs w:val="32"/>
        </w:rPr>
        <w:t>4S</w:t>
      </w:r>
      <w:r w:rsidR="00BF3E69" w:rsidRPr="00692305">
        <w:rPr>
          <w:rFonts w:ascii="仿宋_GB2312" w:eastAsia="仿宋_GB2312" w:hint="eastAsia"/>
          <w:sz w:val="32"/>
          <w:szCs w:val="32"/>
        </w:rPr>
        <w:t>”</w:t>
      </w:r>
      <w:r w:rsidRPr="00692305">
        <w:rPr>
          <w:rFonts w:ascii="仿宋_GB2312" w:eastAsia="仿宋_GB2312"/>
          <w:sz w:val="32"/>
          <w:szCs w:val="32"/>
        </w:rPr>
        <w:t>（</w:t>
      </w:r>
      <w:r w:rsidR="00C1735C">
        <w:rPr>
          <w:rFonts w:ascii="仿宋_GB2312" w:eastAsia="仿宋_GB2312" w:hint="eastAsia"/>
          <w:sz w:val="32"/>
          <w:szCs w:val="32"/>
        </w:rPr>
        <w:t>“</w:t>
      </w:r>
      <w:r w:rsidRPr="00692305">
        <w:rPr>
          <w:rFonts w:ascii="仿宋_GB2312" w:eastAsia="仿宋_GB2312"/>
          <w:sz w:val="32"/>
          <w:szCs w:val="32"/>
        </w:rPr>
        <w:t>Supreme Service, Super Suzhou</w:t>
      </w:r>
      <w:r w:rsidR="00C1735C">
        <w:rPr>
          <w:rFonts w:ascii="仿宋_GB2312" w:eastAsia="仿宋_GB2312" w:hint="eastAsia"/>
          <w:sz w:val="32"/>
          <w:szCs w:val="32"/>
        </w:rPr>
        <w:t>”</w:t>
      </w:r>
      <w:r w:rsidRPr="00692305">
        <w:rPr>
          <w:rFonts w:ascii="仿宋_GB2312" w:eastAsia="仿宋_GB2312"/>
          <w:sz w:val="32"/>
          <w:szCs w:val="32"/>
        </w:rPr>
        <w:t>）国际版营商服务品牌提供强有力的司法保障。</w:t>
      </w:r>
      <w:r w:rsidRPr="00692305">
        <w:rPr>
          <w:rFonts w:ascii="仿宋_GB2312" w:eastAsia="仿宋_GB2312" w:hint="eastAsia"/>
          <w:sz w:val="32"/>
          <w:szCs w:val="32"/>
        </w:rPr>
        <w:t>营造公平、公正、‍‌‍‌‌‍‌‍‍‌‍‍‌‍‌‌‌‍可预期的营商环境，加大产权司法保护力度，坚持多种所有制主体、中外投资主‍‌‍‌‌‍‌‍‍‌‍‍‌‍‌‌‌‍</w:t>
      </w:r>
      <w:proofErr w:type="gramStart"/>
      <w:r w:rsidRPr="00692305">
        <w:rPr>
          <w:rFonts w:ascii="仿宋_GB2312" w:eastAsia="仿宋_GB2312" w:hint="eastAsia"/>
          <w:sz w:val="32"/>
          <w:szCs w:val="32"/>
        </w:rPr>
        <w:t>体法律</w:t>
      </w:r>
      <w:proofErr w:type="gramEnd"/>
      <w:r w:rsidRPr="00692305">
        <w:rPr>
          <w:rFonts w:ascii="仿宋_GB2312" w:eastAsia="仿宋_GB2312" w:hint="eastAsia"/>
          <w:sz w:val="32"/>
          <w:szCs w:val="32"/>
        </w:rPr>
        <w:t>地位和诉讼权利的平等，为各类市场主体提供平等司法保护。依法公正审理涉产权案件，加强对民营企业和民营企业家财产权利和人身权利的保护，落实《关于依法服务和保障民营企业健康发展的</w:t>
      </w:r>
      <w:r w:rsidRPr="00692305">
        <w:rPr>
          <w:rFonts w:ascii="仿宋_GB2312" w:eastAsia="仿宋_GB2312"/>
          <w:sz w:val="32"/>
          <w:szCs w:val="32"/>
        </w:rPr>
        <w:t>20项措施》</w:t>
      </w:r>
      <w:r w:rsidRPr="00692305">
        <w:rPr>
          <w:rFonts w:ascii="仿宋_GB2312" w:eastAsia="仿宋_GB2312" w:hint="eastAsia"/>
          <w:sz w:val="32"/>
          <w:szCs w:val="32"/>
        </w:rPr>
        <w:t>，护航民营经济发展。引导和维护自由、诚信的市场环境，倡导</w:t>
      </w:r>
      <w:proofErr w:type="gramStart"/>
      <w:r w:rsidRPr="00692305">
        <w:rPr>
          <w:rFonts w:ascii="仿宋_GB2312" w:eastAsia="仿宋_GB2312" w:hint="eastAsia"/>
          <w:sz w:val="32"/>
          <w:szCs w:val="32"/>
        </w:rPr>
        <w:t>契</w:t>
      </w:r>
      <w:proofErr w:type="gramEnd"/>
      <w:r w:rsidRPr="00692305">
        <w:rPr>
          <w:rFonts w:ascii="仿宋_GB2312" w:eastAsia="仿宋_GB2312" w:hint="eastAsia"/>
          <w:sz w:val="32"/>
          <w:szCs w:val="32"/>
        </w:rPr>
        <w:t>‍‌‍‌‌‍‌‍‍‌‍‍‌‍‌‌‌‍约精神，保障合同自由及意思自治，不轻易认定合同无效。尊重当事人关‍‌‍‌‌‍‌‍‍‌‍‍‌‍‌‌‌‍于合同标的、履行期限、违约责任等内容的约定，坚持</w:t>
      </w:r>
      <w:proofErr w:type="gramStart"/>
      <w:r w:rsidRPr="00692305">
        <w:rPr>
          <w:rFonts w:ascii="仿宋_GB2312" w:eastAsia="仿宋_GB2312" w:hint="eastAsia"/>
          <w:sz w:val="32"/>
          <w:szCs w:val="32"/>
        </w:rPr>
        <w:t>司法对商事交易</w:t>
      </w:r>
      <w:proofErr w:type="gramEnd"/>
      <w:r w:rsidRPr="00692305">
        <w:rPr>
          <w:rFonts w:ascii="仿宋_GB2312" w:eastAsia="仿宋_GB2312" w:hint="eastAsia"/>
          <w:sz w:val="32"/>
          <w:szCs w:val="32"/>
        </w:rPr>
        <w:t>的有限介入。加强对守约</w:t>
      </w:r>
      <w:proofErr w:type="gramStart"/>
      <w:r w:rsidRPr="00692305">
        <w:rPr>
          <w:rFonts w:ascii="仿宋_GB2312" w:eastAsia="仿宋_GB2312" w:hint="eastAsia"/>
          <w:sz w:val="32"/>
          <w:szCs w:val="32"/>
        </w:rPr>
        <w:t>方合同</w:t>
      </w:r>
      <w:proofErr w:type="gramEnd"/>
      <w:r w:rsidRPr="00692305">
        <w:rPr>
          <w:rFonts w:ascii="仿宋_GB2312" w:eastAsia="仿宋_GB2312" w:hint="eastAsia"/>
          <w:sz w:val="32"/>
          <w:szCs w:val="32"/>
        </w:rPr>
        <w:t>权利的保护，制裁合同失信行为，依法支持守约方的违约金、赔偿损失等诉讼请求。增强司法透明度，推进审判流程、裁判文‍‌‍‌‌‍‌‍‍‌‍‍‌‍‌‌‌‍书等司法公开，定期</w:t>
      </w:r>
      <w:proofErr w:type="gramStart"/>
      <w:r w:rsidRPr="00692305">
        <w:rPr>
          <w:rFonts w:ascii="仿宋_GB2312" w:eastAsia="仿宋_GB2312" w:hint="eastAsia"/>
          <w:sz w:val="32"/>
          <w:szCs w:val="32"/>
        </w:rPr>
        <w:t>发布商事典型</w:t>
      </w:r>
      <w:proofErr w:type="gramEnd"/>
      <w:r w:rsidRPr="00692305">
        <w:rPr>
          <w:rFonts w:ascii="仿宋_GB2312" w:eastAsia="仿宋_GB2312" w:hint="eastAsia"/>
          <w:sz w:val="32"/>
          <w:szCs w:val="32"/>
        </w:rPr>
        <w:t>案例和审判白皮书。</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2.全面提升司法效率。</w:t>
      </w:r>
      <w:r w:rsidRPr="00692305">
        <w:rPr>
          <w:rFonts w:ascii="仿宋_GB2312" w:eastAsia="仿宋_GB2312" w:hint="eastAsia"/>
          <w:sz w:val="32"/>
          <w:szCs w:val="32"/>
        </w:rPr>
        <w:t>参照世界银行关于营商环境的相关标准，</w:t>
      </w:r>
      <w:proofErr w:type="gramStart"/>
      <w:r w:rsidRPr="00692305">
        <w:rPr>
          <w:rFonts w:ascii="仿宋_GB2312" w:eastAsia="仿宋_GB2312" w:hint="eastAsia"/>
          <w:sz w:val="32"/>
          <w:szCs w:val="32"/>
        </w:rPr>
        <w:t>探索商</w:t>
      </w:r>
      <w:proofErr w:type="gramEnd"/>
      <w:r w:rsidRPr="00692305">
        <w:rPr>
          <w:rFonts w:ascii="仿宋_GB2312" w:eastAsia="仿宋_GB2312" w:hint="eastAsia"/>
          <w:sz w:val="32"/>
          <w:szCs w:val="32"/>
        </w:rPr>
        <w:t>事审判新机制，</w:t>
      </w:r>
      <w:proofErr w:type="gramStart"/>
      <w:r w:rsidRPr="00692305">
        <w:rPr>
          <w:rFonts w:ascii="仿宋_GB2312" w:eastAsia="仿宋_GB2312" w:hint="eastAsia"/>
          <w:sz w:val="32"/>
          <w:szCs w:val="32"/>
        </w:rPr>
        <w:t>提升商</w:t>
      </w:r>
      <w:proofErr w:type="gramEnd"/>
      <w:r w:rsidRPr="00692305">
        <w:rPr>
          <w:rFonts w:ascii="仿宋_GB2312" w:eastAsia="仿宋_GB2312" w:hint="eastAsia"/>
          <w:sz w:val="32"/>
          <w:szCs w:val="32"/>
        </w:rPr>
        <w:t>事案件审判质量和效率。以苏州法院被最高法院确定为民事‍‌‍‌‌‍‌‍‍‌‍‍‌‍‌‌‌‍诉讼程序繁简分流改革试点法院为契机，依托“智慧审判苏州模式”的信息化优势，</w:t>
      </w:r>
      <w:proofErr w:type="gramStart"/>
      <w:r w:rsidRPr="00692305">
        <w:rPr>
          <w:rFonts w:ascii="仿宋_GB2312" w:eastAsia="仿宋_GB2312" w:hint="eastAsia"/>
          <w:sz w:val="32"/>
          <w:szCs w:val="32"/>
        </w:rPr>
        <w:t>促进商</w:t>
      </w:r>
      <w:proofErr w:type="gramEnd"/>
      <w:r w:rsidRPr="00692305">
        <w:rPr>
          <w:rFonts w:ascii="仿宋_GB2312" w:eastAsia="仿宋_GB2312" w:hint="eastAsia"/>
          <w:sz w:val="32"/>
          <w:szCs w:val="32"/>
        </w:rPr>
        <w:t>事案件快立、快审、快执。严格审限管理，提高办案效率，</w:t>
      </w:r>
      <w:proofErr w:type="gramStart"/>
      <w:r w:rsidRPr="00692305">
        <w:rPr>
          <w:rFonts w:ascii="仿宋_GB2312" w:eastAsia="仿宋_GB2312" w:hint="eastAsia"/>
          <w:sz w:val="32"/>
          <w:szCs w:val="32"/>
        </w:rPr>
        <w:t>完善超</w:t>
      </w:r>
      <w:proofErr w:type="gramEnd"/>
      <w:r w:rsidRPr="00692305">
        <w:rPr>
          <w:rFonts w:ascii="仿宋_GB2312" w:eastAsia="仿宋_GB2312" w:hint="eastAsia"/>
          <w:sz w:val="32"/>
          <w:szCs w:val="32"/>
        </w:rPr>
        <w:t>审限案件通报督办机制，避免超限不结、久拖不决。</w:t>
      </w:r>
      <w:proofErr w:type="gramStart"/>
      <w:r w:rsidRPr="00692305">
        <w:rPr>
          <w:rFonts w:ascii="仿宋_GB2312" w:eastAsia="仿宋_GB2312" w:hint="eastAsia"/>
          <w:sz w:val="32"/>
          <w:szCs w:val="32"/>
        </w:rPr>
        <w:t>探索商</w:t>
      </w:r>
      <w:proofErr w:type="gramEnd"/>
      <w:r w:rsidRPr="00692305">
        <w:rPr>
          <w:rFonts w:ascii="仿宋_GB2312" w:eastAsia="仿宋_GB2312" w:hint="eastAsia"/>
          <w:sz w:val="32"/>
          <w:szCs w:val="32"/>
        </w:rPr>
        <w:t>事案件繁简分流‍‌‍‌‌‍‌‍‍‌‍‍‌‍‌‌‌‍工作机制，强化金融、破产、知识产权等案件专业化审判和简单</w:t>
      </w:r>
      <w:proofErr w:type="gramStart"/>
      <w:r w:rsidRPr="00692305">
        <w:rPr>
          <w:rFonts w:ascii="仿宋_GB2312" w:eastAsia="仿宋_GB2312" w:hint="eastAsia"/>
          <w:sz w:val="32"/>
          <w:szCs w:val="32"/>
        </w:rPr>
        <w:t>案件速裁快结</w:t>
      </w:r>
      <w:proofErr w:type="gramEnd"/>
      <w:r w:rsidRPr="00692305">
        <w:rPr>
          <w:rFonts w:ascii="仿宋_GB2312" w:eastAsia="仿宋_GB2312" w:hint="eastAsia"/>
          <w:sz w:val="32"/>
          <w:szCs w:val="32"/>
        </w:rPr>
        <w:t>。建立法院诉讼与商会调解、‍‌‍‌‌‍‌‍‍‌‍‍‌‍‌‌‌‍行业调解等相衔接的多元解纷机制，将‍‌‍‌‌‍‌‍‍‌‍‍‌‍‌‌‌‍商会调解、行业调解等纳入司法确认适用范围，</w:t>
      </w:r>
      <w:proofErr w:type="gramStart"/>
      <w:r w:rsidRPr="00692305">
        <w:rPr>
          <w:rFonts w:ascii="仿宋_GB2312" w:eastAsia="仿宋_GB2312" w:hint="eastAsia"/>
          <w:sz w:val="32"/>
          <w:szCs w:val="32"/>
        </w:rPr>
        <w:t>促进商</w:t>
      </w:r>
      <w:proofErr w:type="gramEnd"/>
      <w:r w:rsidRPr="00692305">
        <w:rPr>
          <w:rFonts w:ascii="仿宋_GB2312" w:eastAsia="仿宋_GB2312" w:hint="eastAsia"/>
          <w:sz w:val="32"/>
          <w:szCs w:val="32"/>
        </w:rPr>
        <w:t>事纠纷有效分流化解。</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二、促进对外开放</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3.依法服务开放型经济发展。</w:t>
      </w:r>
      <w:r w:rsidRPr="00692305">
        <w:rPr>
          <w:rFonts w:ascii="仿宋_GB2312" w:eastAsia="仿宋_GB2312" w:hint="eastAsia"/>
          <w:sz w:val="32"/>
          <w:szCs w:val="32"/>
        </w:rPr>
        <w:t>落实外商投资法关于外商投资准入前国民待遇加负面清单等制度，妥善处理外商投资领域的各类纠纷，依法保护外商投资合法权益。主动对接国际通行规则，正确适用国际条约、国际惯例和我国相关法律，保障交易自由和安全，增强外商投资和对外贸易的信心，促进苏州对全球市场吸引力和资源配置能力的提升。建立重大涉外商事案件管理机制，对裁判结果可能有国际影响的案件，慎重研究、妥善协调、公正裁判。推动设立自贸区苏州片区法院或法庭，出台《关于依法服务和保障中国（江苏）自由贸易试验区苏州片区建设发展的实施意见》，积极构建自贸区苏州片区司法保障体系。进一步巩固和放大“</w:t>
      </w:r>
      <w:r w:rsidRPr="00692305">
        <w:rPr>
          <w:rFonts w:ascii="仿宋_GB2312" w:eastAsia="仿宋_GB2312"/>
          <w:sz w:val="32"/>
          <w:szCs w:val="32"/>
        </w:rPr>
        <w:t>16+1</w:t>
      </w:r>
      <w:r w:rsidR="00F5742B">
        <w:rPr>
          <w:rFonts w:ascii="仿宋_GB2312" w:eastAsia="仿宋_GB2312" w:hint="eastAsia"/>
          <w:sz w:val="32"/>
          <w:szCs w:val="32"/>
        </w:rPr>
        <w:t>”</w:t>
      </w:r>
      <w:r w:rsidRPr="00692305">
        <w:rPr>
          <w:rFonts w:ascii="仿宋_GB2312" w:eastAsia="仿宋_GB2312"/>
          <w:sz w:val="32"/>
          <w:szCs w:val="32"/>
        </w:rPr>
        <w:t>中国-中东欧国家最高法院院长会议及所达成的</w:t>
      </w:r>
      <w:r w:rsidR="007F297E" w:rsidRPr="00692305">
        <w:rPr>
          <w:rFonts w:ascii="仿宋_GB2312" w:eastAsia="仿宋_GB2312" w:hint="eastAsia"/>
          <w:sz w:val="32"/>
          <w:szCs w:val="32"/>
        </w:rPr>
        <w:t>“</w:t>
      </w:r>
      <w:r w:rsidRPr="00692305">
        <w:rPr>
          <w:rFonts w:ascii="仿宋_GB2312" w:eastAsia="仿宋_GB2312"/>
          <w:sz w:val="32"/>
          <w:szCs w:val="32"/>
        </w:rPr>
        <w:t>苏州共识</w:t>
      </w:r>
      <w:r w:rsidR="007F297E">
        <w:rPr>
          <w:rFonts w:ascii="仿宋_GB2312" w:eastAsia="仿宋_GB2312" w:hint="eastAsia"/>
          <w:sz w:val="32"/>
          <w:szCs w:val="32"/>
        </w:rPr>
        <w:t>”</w:t>
      </w:r>
      <w:r w:rsidRPr="00692305">
        <w:rPr>
          <w:rFonts w:ascii="仿宋_GB2312" w:eastAsia="仿宋_GB2312"/>
          <w:sz w:val="32"/>
          <w:szCs w:val="32"/>
        </w:rPr>
        <w:t>的效应，积极争取最高法院在苏州设立中国-中东欧国家司法交流与合作研究（苏州）基地。</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4.提升涉外商事审判水平。</w:t>
      </w:r>
      <w:r w:rsidRPr="00692305">
        <w:rPr>
          <w:rFonts w:ascii="仿宋_GB2312" w:eastAsia="仿宋_GB2312" w:hint="eastAsia"/>
          <w:sz w:val="32"/>
          <w:szCs w:val="32"/>
        </w:rPr>
        <w:t>依托最高法院涉外民商事审判（苏州）调研基地，加强涉外民商事疑难法律问题研究，打造与苏州开放型经济相适应的高水平司法。完善涉外商事审判中的域外法查明机制，借力与相关法学院校、专家智库合作的优势资源，以及“智慧审判苏州模式”涉外</w:t>
      </w:r>
      <w:proofErr w:type="gramStart"/>
      <w:r w:rsidRPr="00692305">
        <w:rPr>
          <w:rFonts w:ascii="仿宋_GB2312" w:eastAsia="仿宋_GB2312" w:hint="eastAsia"/>
          <w:sz w:val="32"/>
          <w:szCs w:val="32"/>
        </w:rPr>
        <w:t>司法大</w:t>
      </w:r>
      <w:proofErr w:type="gramEnd"/>
      <w:r w:rsidRPr="00692305">
        <w:rPr>
          <w:rFonts w:ascii="仿宋_GB2312" w:eastAsia="仿宋_GB2312" w:hint="eastAsia"/>
          <w:sz w:val="32"/>
          <w:szCs w:val="32"/>
        </w:rPr>
        <w:t>数据平台建设成果，通过线上线下联通共享方式，提高域外法查明的专业性与便捷度。加强域外法律文书送达工作，充分利用《海牙送达公约》确定的替代性送达方式，提升法律文书域外送达效果。深化国际司法协助，对尚未与我国缔结司法协助协定的“一带一路”沿线国家和苏州投资贸易重要伙伴国家，探索采取推定互惠的司法原则，促进</w:t>
      </w:r>
      <w:proofErr w:type="gramStart"/>
      <w:r w:rsidRPr="00692305">
        <w:rPr>
          <w:rFonts w:ascii="仿宋_GB2312" w:eastAsia="仿宋_GB2312" w:hint="eastAsia"/>
          <w:sz w:val="32"/>
          <w:szCs w:val="32"/>
        </w:rPr>
        <w:t>国家间民商</w:t>
      </w:r>
      <w:proofErr w:type="gramEnd"/>
      <w:r w:rsidRPr="00692305">
        <w:rPr>
          <w:rFonts w:ascii="仿宋_GB2312" w:eastAsia="仿宋_GB2312" w:hint="eastAsia"/>
          <w:sz w:val="32"/>
          <w:szCs w:val="32"/>
        </w:rPr>
        <w:t>事判决的相互承认和执行。</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三、助力创新发展</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5.进一步提升知识产权司法保护水平。</w:t>
      </w:r>
      <w:r w:rsidRPr="00692305">
        <w:rPr>
          <w:rFonts w:ascii="仿宋_GB2312" w:eastAsia="仿宋_GB2312" w:hint="eastAsia"/>
          <w:sz w:val="32"/>
          <w:szCs w:val="32"/>
        </w:rPr>
        <w:t>出台《关于充分发挥苏州知识产权法庭审判功能 依法服务和保障苏州开放再出发的实施意见》，深化苏州知识产权法庭建设，用足、用好苏州知识产权审判“跨区域集中管辖”“飞跃上诉”两大司法红利，坚持最严格知识产权保护原则，完善知识产权民事、刑事、行政案件“三审合一”审判机制，助力苏州打造创新发展高地。加强技术类知识产权案件的审理，根据专利权的创新程度，确定保护范围和保护强度，促使高质量的发明创造获得更强的司法保护。正确界定职务发明与非职务发明，既依法保护发明人权益，也注意维护企业合法权益。依法制裁侵害商业秘密的行为，重点加强对侵犯商业秘密犯罪领域损失认定问题的研究。加强技术合同类案件的审理，合理评判技术合同履行过程中阶段性成果在合同整体约定中的价值，平衡保护知识产权权利人和使用人的利益。高度重视创新品牌保护对推动特定行业、产业发展的重要作用，依法严厉制止各类恶意抢注、搭便车、</w:t>
      </w:r>
      <w:proofErr w:type="gramStart"/>
      <w:r w:rsidRPr="00692305">
        <w:rPr>
          <w:rFonts w:ascii="仿宋_GB2312" w:eastAsia="仿宋_GB2312" w:hint="eastAsia"/>
          <w:sz w:val="32"/>
          <w:szCs w:val="32"/>
        </w:rPr>
        <w:t>傍名牌</w:t>
      </w:r>
      <w:proofErr w:type="gramEnd"/>
      <w:r w:rsidRPr="00692305">
        <w:rPr>
          <w:rFonts w:ascii="仿宋_GB2312" w:eastAsia="仿宋_GB2312" w:hint="eastAsia"/>
          <w:sz w:val="32"/>
          <w:szCs w:val="32"/>
        </w:rPr>
        <w:t>等不法行为。建立以实现知识产权市场价值为指引的侵权损害赔偿司法认定机制，依法支持权利人的惩罚性赔偿请求。</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6.妥善审理涉创新型企业发展的各类纠纷。</w:t>
      </w:r>
      <w:r w:rsidRPr="00692305">
        <w:rPr>
          <w:rFonts w:ascii="仿宋_GB2312" w:eastAsia="仿宋_GB2312" w:hint="eastAsia"/>
          <w:sz w:val="32"/>
          <w:szCs w:val="32"/>
        </w:rPr>
        <w:t>坚持激励创新与守约合</w:t>
      </w:r>
      <w:proofErr w:type="gramStart"/>
      <w:r w:rsidRPr="00692305">
        <w:rPr>
          <w:rFonts w:ascii="仿宋_GB2312" w:eastAsia="仿宋_GB2312" w:hint="eastAsia"/>
          <w:sz w:val="32"/>
          <w:szCs w:val="32"/>
        </w:rPr>
        <w:t>规</w:t>
      </w:r>
      <w:proofErr w:type="gramEnd"/>
      <w:r w:rsidRPr="00692305">
        <w:rPr>
          <w:rFonts w:ascii="仿宋_GB2312" w:eastAsia="仿宋_GB2312" w:hint="eastAsia"/>
          <w:sz w:val="32"/>
          <w:szCs w:val="32"/>
        </w:rPr>
        <w:t>相结合的原则，依法支持创新型企业的经营发展。及时审理高新技术产业化过程中涉及的企业兼并、资产重组、股权转让等投资纠纷，正确认定以知识和技术入股等投资方式的法律效力。妥善审理知识产权质押贷款、知识产权证券化过程中产生的融资纠纷，鼓励科技创新型企业以专利、商标等知识产权进行融资。发挥司法裁判指引作用，规范科技担保公司和科技小额贷款公司的经营行为，推动金融与科技深度融合。</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四、推动人才集聚</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7.助推人才优先发展战略实施。</w:t>
      </w:r>
      <w:r w:rsidRPr="00692305">
        <w:rPr>
          <w:rFonts w:ascii="仿宋_GB2312" w:eastAsia="仿宋_GB2312" w:hint="eastAsia"/>
          <w:sz w:val="32"/>
          <w:szCs w:val="32"/>
        </w:rPr>
        <w:t>设立涉高端人才案件专业合议庭，妥善处理涉高端人才纠纷。切实保护先导产业、前沿科技领域等方面高端人才的劳动权益和职业发展，助力营造良好的“引智”环境。加强与劳动争议仲裁的裁审对接，统一涉高端人才劳动争议处理尺度。强化与市科技局、市科协等部门的联动机制，协同构建涉高端人才多元解纷体系。发布高端人才、海外人才用工法律指引，引导企业合法合</w:t>
      </w:r>
      <w:proofErr w:type="gramStart"/>
      <w:r w:rsidRPr="00692305">
        <w:rPr>
          <w:rFonts w:ascii="仿宋_GB2312" w:eastAsia="仿宋_GB2312" w:hint="eastAsia"/>
          <w:sz w:val="32"/>
          <w:szCs w:val="32"/>
        </w:rPr>
        <w:t>规</w:t>
      </w:r>
      <w:proofErr w:type="gramEnd"/>
      <w:r w:rsidRPr="00692305">
        <w:rPr>
          <w:rFonts w:ascii="仿宋_GB2312" w:eastAsia="仿宋_GB2312" w:hint="eastAsia"/>
          <w:sz w:val="32"/>
          <w:szCs w:val="32"/>
        </w:rPr>
        <w:t>使用人才，促进国际高端人才在苏州集聚创新。</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8.强化司法裁判对人才使用的规范引导作用。</w:t>
      </w:r>
      <w:r w:rsidRPr="00692305">
        <w:rPr>
          <w:rFonts w:ascii="仿宋_GB2312" w:eastAsia="仿宋_GB2312" w:hint="eastAsia"/>
          <w:sz w:val="32"/>
          <w:szCs w:val="32"/>
        </w:rPr>
        <w:t>坚持高端人才与企业“双保护”、贡献与回报相匹配原则，妥善审理涉高端人才劳动合同订立、续签、解除及岗位调整等劳动争议案件，合理平衡劳资权益。对提成、绩效等浮动薪酬或股权激励机制所引发的劳动争议纠纷，从吸引人才、尊重人才、留住人才角度，按照诚信守约原则妥善处理。对用人单位不合理使用人才，滥用用工自主权，在劳动合同期限内通过不当采用“末位淘汰”或者“竞争上岗”等方式单方解除劳动合同等纠纷，依法</w:t>
      </w:r>
      <w:proofErr w:type="gramStart"/>
      <w:r w:rsidRPr="00692305">
        <w:rPr>
          <w:rFonts w:ascii="仿宋_GB2312" w:eastAsia="仿宋_GB2312" w:hint="eastAsia"/>
          <w:sz w:val="32"/>
          <w:szCs w:val="32"/>
        </w:rPr>
        <w:t>作出</w:t>
      </w:r>
      <w:proofErr w:type="gramEnd"/>
      <w:r w:rsidRPr="00692305">
        <w:rPr>
          <w:rFonts w:ascii="仿宋_GB2312" w:eastAsia="仿宋_GB2312" w:hint="eastAsia"/>
          <w:sz w:val="32"/>
          <w:szCs w:val="32"/>
        </w:rPr>
        <w:t>否定评价，由此制定的企业规章制度，依法不予认可。对竞业限制协议的纠纷，应正确评价竞业限制的目的正当性和范围、区域、时间的合理性，依法调整违约金数额，促进人才合理流动和企业公平竞争。</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五、服务产业转型</w:t>
      </w:r>
    </w:p>
    <w:p w:rsidR="00692305" w:rsidRPr="00692305" w:rsidRDefault="00692305" w:rsidP="00834369">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9.助力产业转型升级和高质量发展。</w:t>
      </w:r>
      <w:r w:rsidRPr="00692305">
        <w:rPr>
          <w:rFonts w:ascii="仿宋_GB2312" w:eastAsia="仿宋_GB2312" w:hint="eastAsia"/>
          <w:sz w:val="32"/>
          <w:szCs w:val="32"/>
        </w:rPr>
        <w:t>发挥司法规范、引导、保障功能，在产业基地设立巡回审判点、法官工作站，助力做大做强生物医药、高端装备制造等产业集群。妥善审理企业转型升级过程中的相关纠纷，正确认定企业协同创新、合资合作、并购重组等协议的效力，鼓励企业‍‌‍‌‌‍‌‍‍‌‍‍‌‍‌‌‌‍通过合同安排实现资产整合、扩大产业规模及产业结构转型升级。妥善审理</w:t>
      </w:r>
      <w:proofErr w:type="gramStart"/>
      <w:r w:rsidRPr="00692305">
        <w:rPr>
          <w:rFonts w:ascii="仿宋_GB2312" w:eastAsia="仿宋_GB2312" w:hint="eastAsia"/>
          <w:sz w:val="32"/>
          <w:szCs w:val="32"/>
        </w:rPr>
        <w:t>涉先进</w:t>
      </w:r>
      <w:proofErr w:type="gramEnd"/>
      <w:r w:rsidRPr="00692305">
        <w:rPr>
          <w:rFonts w:ascii="仿宋_GB2312" w:eastAsia="仿宋_GB2312" w:hint="eastAsia"/>
          <w:sz w:val="32"/>
          <w:szCs w:val="32"/>
        </w:rPr>
        <w:t>制造、共享经济、现代供应链及各类新交易、新模式、新业态的案件，推动企业利用技术创新和规模效应形成竞争优势。维护转型企业的生存发展，慎用公司解散、强制清算等措施，尽力引导公司内部‍‌‍‌‌‍‌‍‍‌‍‍‌‍‌‌‌‍通过股权转让、引入外部投资等方式解决纠纷。</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10.优化破产审判质效。</w:t>
      </w:r>
      <w:r w:rsidRPr="00692305">
        <w:rPr>
          <w:rFonts w:ascii="仿宋_GB2312" w:eastAsia="仿宋_GB2312" w:hint="eastAsia"/>
          <w:sz w:val="32"/>
          <w:szCs w:val="32"/>
        </w:rPr>
        <w:t>出台《关于充分发挥破产审判职能 依法服务和保障苏州开放再出发的实施细则》，依法高效适用破产及重整、和解程序，发挥优胜劣汰市场机制作用，服务供给侧结构性改革。依法准确把握破产立案审查标准，完善破产程序启动制度。实施破产案件繁简分流，加快审理进程、简化送达方式，提升审判效率。持续推进“执转破”工作，完善“执转破”案件简化审工作机制。建立破产企业资源数据库，实现破产程序释放资源与市场需求有序对接，促进资源优化配置。推进破产企业救治，落实破产保护理念，建立破产企业再生可能识别机制，对具有发展前景和挽救价值的企业积极适用破产重整和破产和解程序，充分发挥濒危企业救治制度效能。探索预重整制度的运用和实施，完善庭外重组与庭内重整的衔接，提升破产重整质效。加强破产审判团队建设，推进破产审判专业化。</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六、保障投资合作</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11.正确适用公司法规定保护投资权益。</w:t>
      </w:r>
      <w:r w:rsidRPr="00692305">
        <w:rPr>
          <w:rFonts w:ascii="仿宋_GB2312" w:eastAsia="仿宋_GB2312" w:hint="eastAsia"/>
          <w:sz w:val="32"/>
          <w:szCs w:val="32"/>
        </w:rPr>
        <w:t>依法审理涉公司法相关案件，协调好股东、公司、债权人等各利益主体之间的关系‍‌‍‌‌‍‌‍‍‌‍‍‌‍‌‌‌‍。把握好尊重公司自治和司法适度介入的关系，增强投资创业信心。依法保护公司股东对公司的财产权益和参与管理权利，坚持股东有限责任原则，审慎认定法人人格混同，不轻易突破股东有限责任‍‌‍‌‌‍‌‍‍‌‍‍‌‍‌‌‌‍。加强对中小投资者利益的保护，依法规制控制股东滥用权利的行为，针对‍‌‍‌‌‍‌‍‍‌‍‍‌‍‌‌‌‍控制股东利用控制地位侵占财产、滥用关联关系损害公司利益的纠纷，依法‍‌‍‌‌‍‌‍‍‌‍‍‌‍‌‌‌‍认定控制股东承担责任。妥善审理涉股‍‌‍‌‌‍‌‍‍‌‍‍‌‍‌‌‌‍东知情权、盈余分配请求权案件，保障中小股东对公司经营和财务状况的知情权，依法支持公司向股东分配利润。从宽把握股东代表诉讼起诉条件，原告股东有证据证‍‌‍‌‌‍‌‍‍‌‍‍‌‍‌‌‌‍明董事、监事明显不愿意提起诉讼的，可认定为符合起诉条件。妥善审理公‍‌‍‌‌‍‌‍‍‌‍‍‌‍‌‌‌‍</w:t>
      </w:r>
      <w:proofErr w:type="gramStart"/>
      <w:r w:rsidRPr="00692305">
        <w:rPr>
          <w:rFonts w:ascii="仿宋_GB2312" w:eastAsia="仿宋_GB2312" w:hint="eastAsia"/>
          <w:sz w:val="32"/>
          <w:szCs w:val="32"/>
        </w:rPr>
        <w:t>司决议类</w:t>
      </w:r>
      <w:proofErr w:type="gramEnd"/>
      <w:r w:rsidRPr="00692305">
        <w:rPr>
          <w:rFonts w:ascii="仿宋_GB2312" w:eastAsia="仿宋_GB2312" w:hint="eastAsia"/>
          <w:sz w:val="32"/>
          <w:szCs w:val="32"/>
        </w:rPr>
        <w:t>案件，准确认定公司决议的成立与生效，引导公司严格遵守</w:t>
      </w:r>
      <w:proofErr w:type="gramStart"/>
      <w:r w:rsidRPr="00692305">
        <w:rPr>
          <w:rFonts w:ascii="仿宋_GB2312" w:eastAsia="仿宋_GB2312" w:hint="eastAsia"/>
          <w:sz w:val="32"/>
          <w:szCs w:val="32"/>
        </w:rPr>
        <w:t>股东会决</w:t>
      </w:r>
      <w:proofErr w:type="gramEnd"/>
      <w:r w:rsidRPr="00692305">
        <w:rPr>
          <w:rFonts w:ascii="仿宋_GB2312" w:eastAsia="仿宋_GB2312" w:hint="eastAsia"/>
          <w:sz w:val="32"/>
          <w:szCs w:val="32"/>
        </w:rPr>
        <w:t>‍‌‍‌‌‍‌‍‍‌‍‍‌‍‌‌‌‍议召集程序及表决程序。</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12.公正审理</w:t>
      </w:r>
      <w:proofErr w:type="gramStart"/>
      <w:r w:rsidRPr="00692305">
        <w:rPr>
          <w:rFonts w:ascii="楷体" w:eastAsia="楷体" w:hAnsi="楷体" w:hint="eastAsia"/>
          <w:sz w:val="32"/>
          <w:szCs w:val="32"/>
        </w:rPr>
        <w:t>涉投资</w:t>
      </w:r>
      <w:proofErr w:type="gramEnd"/>
      <w:r w:rsidRPr="00692305">
        <w:rPr>
          <w:rFonts w:ascii="楷体" w:eastAsia="楷体" w:hAnsi="楷体" w:hint="eastAsia"/>
          <w:sz w:val="32"/>
          <w:szCs w:val="32"/>
        </w:rPr>
        <w:t>合作相关合同纠纷。</w:t>
      </w:r>
      <w:r w:rsidRPr="00692305">
        <w:rPr>
          <w:rFonts w:ascii="仿宋_GB2312" w:eastAsia="仿宋_GB2312" w:hint="eastAsia"/>
          <w:sz w:val="32"/>
          <w:szCs w:val="32"/>
        </w:rPr>
        <w:t>准确认定股权转让、股权回‍‌‍‌‌‍‌‍‍‌‍‍‌‍‌‌‌‍购、估值调整等投资合同的效力，对于涉及技术创新型、高端制造业的投资合同，尽量促成合同履行，促进投资增值。对于投资人有权解除合同的，依法‍‌‍‌‌‍‌‍‍‌‍‍‌‍‌‌‌‍认定回购、估值调整及违约责任，保障投资人按约退出‍‌‍‌‌‍‌‍‍‌‍‍‌‍‌‌‌‍合同的权利。依法认定以知识产权、土地使用权、经营权等财产权利进行投资‍‌‍‌‌‍‌‍‍‌‍‍‌‍‌‌‌‍合作的合同效力，尊重当事人之间对于财产折价、回报比例的约定，按约处理其权利义务关系。</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七、规范金融服务</w:t>
      </w:r>
    </w:p>
    <w:p w:rsidR="00692305" w:rsidRPr="00692305" w:rsidRDefault="00692305" w:rsidP="00834369">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13.支持金融服务实体经济。</w:t>
      </w:r>
      <w:r w:rsidRPr="00692305">
        <w:rPr>
          <w:rFonts w:ascii="仿宋_GB2312" w:eastAsia="仿宋_GB2312" w:hint="eastAsia"/>
          <w:sz w:val="32"/>
          <w:szCs w:val="32"/>
        </w:rPr>
        <w:t>坚持以促进金融服务实体经济为金融审判的首要原则，降低实体经济融资成本，严格把握金融借贷案件中背离实体经济利润的过高利率边界，引导资金“脱虚向实”。探索开展先行性判决，正确认定金融行为的性质和效力，引导金融创新方向，切实保护能够降低交易成本、实现普惠金融、合法合</w:t>
      </w:r>
      <w:proofErr w:type="gramStart"/>
      <w:r w:rsidRPr="00692305">
        <w:rPr>
          <w:rFonts w:ascii="仿宋_GB2312" w:eastAsia="仿宋_GB2312" w:hint="eastAsia"/>
          <w:sz w:val="32"/>
          <w:szCs w:val="32"/>
        </w:rPr>
        <w:t>规</w:t>
      </w:r>
      <w:proofErr w:type="gramEnd"/>
      <w:r w:rsidRPr="00692305">
        <w:rPr>
          <w:rFonts w:ascii="仿宋_GB2312" w:eastAsia="仿宋_GB2312" w:hint="eastAsia"/>
          <w:sz w:val="32"/>
          <w:szCs w:val="32"/>
        </w:rPr>
        <w:t>的金融创新行为。依法认定企业融资担保法律效力，拓宽金融资本对接实体经济渠道。</w:t>
      </w:r>
      <w:proofErr w:type="gramStart"/>
      <w:r w:rsidRPr="00692305">
        <w:rPr>
          <w:rFonts w:ascii="仿宋_GB2312" w:eastAsia="仿宋_GB2312" w:hint="eastAsia"/>
          <w:sz w:val="32"/>
          <w:szCs w:val="32"/>
        </w:rPr>
        <w:t>支持科创企业</w:t>
      </w:r>
      <w:proofErr w:type="gramEnd"/>
      <w:r w:rsidRPr="00692305">
        <w:rPr>
          <w:rFonts w:ascii="仿宋_GB2312" w:eastAsia="仿宋_GB2312" w:hint="eastAsia"/>
          <w:sz w:val="32"/>
          <w:szCs w:val="32"/>
        </w:rPr>
        <w:t>充分发掘融资资源，除存在合同法规定无效情形外，准确认定股权让与、应收账款质押等新兴融资担保方式的法律效力，符合物权法相关规定的，依法认定担保物权效力。依法审理融资租赁合同、保</w:t>
      </w:r>
      <w:proofErr w:type="gramStart"/>
      <w:r w:rsidRPr="00692305">
        <w:rPr>
          <w:rFonts w:ascii="仿宋_GB2312" w:eastAsia="仿宋_GB2312" w:hint="eastAsia"/>
          <w:sz w:val="32"/>
          <w:szCs w:val="32"/>
        </w:rPr>
        <w:t>理合同</w:t>
      </w:r>
      <w:proofErr w:type="gramEnd"/>
      <w:r w:rsidRPr="00692305">
        <w:rPr>
          <w:rFonts w:ascii="仿宋_GB2312" w:eastAsia="仿宋_GB2312" w:hint="eastAsia"/>
          <w:sz w:val="32"/>
          <w:szCs w:val="32"/>
        </w:rPr>
        <w:t>纠纷等案件，支持金融资本与实体经济相结合的融资模式。</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14.有效防范化解金融风险。</w:t>
      </w:r>
      <w:r w:rsidRPr="00692305">
        <w:rPr>
          <w:rFonts w:ascii="仿宋_GB2312" w:eastAsia="仿宋_GB2312" w:hint="eastAsia"/>
          <w:sz w:val="32"/>
          <w:szCs w:val="32"/>
        </w:rPr>
        <w:t>坚持鼓励金融创新与保障金融安全相结合，合理平衡金融机构与企业债务人利益关系，规制和引导市场主体的金融交易行为。对采取多层嵌套、循环交易、虚伪意思表示等方式进行金融交易的，以“穿透式”审判思维予以合法性审查，对于以金融创新为名规避金融监管的违法违规行为，依法给予否定评价。依法规制高利贷、超利贷行为，加大对</w:t>
      </w:r>
      <w:r w:rsidRPr="00692305">
        <w:rPr>
          <w:rFonts w:ascii="仿宋_GB2312" w:eastAsia="仿宋_GB2312"/>
          <w:sz w:val="32"/>
          <w:szCs w:val="32"/>
        </w:rPr>
        <w:t>P2P网络借贷等方式非法吸收公众存款、集资诈骗、</w:t>
      </w:r>
      <w:r w:rsidRPr="00692305">
        <w:rPr>
          <w:rFonts w:ascii="仿宋_GB2312" w:eastAsia="仿宋_GB2312" w:hint="eastAsia"/>
          <w:sz w:val="32"/>
          <w:szCs w:val="32"/>
        </w:rPr>
        <w:t>“</w:t>
      </w:r>
      <w:r w:rsidRPr="00692305">
        <w:rPr>
          <w:rFonts w:ascii="仿宋_GB2312" w:eastAsia="仿宋_GB2312"/>
          <w:sz w:val="32"/>
          <w:szCs w:val="32"/>
        </w:rPr>
        <w:t>套路贷</w:t>
      </w:r>
      <w:r w:rsidRPr="00692305">
        <w:rPr>
          <w:rFonts w:ascii="仿宋_GB2312" w:eastAsia="仿宋_GB2312" w:hint="eastAsia"/>
          <w:sz w:val="32"/>
          <w:szCs w:val="32"/>
        </w:rPr>
        <w:t>”</w:t>
      </w:r>
      <w:r w:rsidRPr="00692305">
        <w:rPr>
          <w:rFonts w:ascii="仿宋_GB2312" w:eastAsia="仿宋_GB2312"/>
          <w:sz w:val="32"/>
          <w:szCs w:val="32"/>
        </w:rPr>
        <w:t>等非法金融活动的识别和打击力度，维护金融安全。</w:t>
      </w:r>
      <w:r w:rsidRPr="00692305">
        <w:rPr>
          <w:rFonts w:ascii="仿宋_GB2312" w:eastAsia="仿宋_GB2312" w:hint="eastAsia"/>
          <w:sz w:val="32"/>
          <w:szCs w:val="32"/>
        </w:rPr>
        <w:t>深化与金融监管部门联合构建的防控化解金融风险协作机制，支持金融监管部门依法履职，维护金融秩序。加强金融监管行政执法与金融审判的协同配合，强化金融监管政策与金融审判规则的有效衔接。</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八、发挥土地效用</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15.服务保障重点项目建设。</w:t>
      </w:r>
      <w:r w:rsidRPr="00692305">
        <w:rPr>
          <w:rFonts w:ascii="仿宋_GB2312" w:eastAsia="仿宋_GB2312" w:hint="eastAsia"/>
          <w:sz w:val="32"/>
          <w:szCs w:val="32"/>
        </w:rPr>
        <w:t>审慎处理</w:t>
      </w:r>
      <w:proofErr w:type="gramStart"/>
      <w:r w:rsidRPr="00692305">
        <w:rPr>
          <w:rFonts w:ascii="仿宋_GB2312" w:eastAsia="仿宋_GB2312" w:hint="eastAsia"/>
          <w:sz w:val="32"/>
          <w:szCs w:val="32"/>
        </w:rPr>
        <w:t>涉国有</w:t>
      </w:r>
      <w:proofErr w:type="gramEnd"/>
      <w:r w:rsidRPr="00692305">
        <w:rPr>
          <w:rFonts w:ascii="仿宋_GB2312" w:eastAsia="仿宋_GB2312" w:hint="eastAsia"/>
          <w:sz w:val="32"/>
          <w:szCs w:val="32"/>
        </w:rPr>
        <w:t>土地使用权合同纠纷，促进合同加快履行，保障土地利用效益的最大化。妥善审理因科技创新产业区、新兴产业基地等载体建设中引发的土地征收、房屋拆迁、房地产买卖租赁等纠纷，全力保障创新创业载体顺利建成和运营。妥善审理涉及重点项目、重大工程的建设工程施工合同纠纷案件，依法处理非法转包、违法分包、肢解发包、不具备法定资质的实际施工人借用资质承揽工程等违法行为，促进工程施工规范有序进行。慎用财产保全措施，尽可能加快案件审理进度，为工程项目按期完工提供司法保障。切实维护建设工程招投标市场秩序，依法以中标合同、中标文件等作为结算建设工程价款的依据，杜绝“黑白合同”、明招暗定现象，保障建设工程质量，促进建筑业健康发展。</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16.规范房地产市场交易行为。</w:t>
      </w:r>
      <w:r w:rsidRPr="00692305">
        <w:rPr>
          <w:rFonts w:ascii="仿宋_GB2312" w:eastAsia="仿宋_GB2312" w:hint="eastAsia"/>
          <w:sz w:val="32"/>
          <w:szCs w:val="32"/>
        </w:rPr>
        <w:t>平等保护企业、自然人等主体的房地产权利，依法认定房地</w:t>
      </w:r>
      <w:proofErr w:type="gramStart"/>
      <w:r w:rsidRPr="00692305">
        <w:rPr>
          <w:rFonts w:ascii="仿宋_GB2312" w:eastAsia="仿宋_GB2312" w:hint="eastAsia"/>
          <w:sz w:val="32"/>
          <w:szCs w:val="32"/>
        </w:rPr>
        <w:t>产物权</w:t>
      </w:r>
      <w:proofErr w:type="gramEnd"/>
      <w:r w:rsidRPr="00692305">
        <w:rPr>
          <w:rFonts w:ascii="仿宋_GB2312" w:eastAsia="仿宋_GB2312" w:hint="eastAsia"/>
          <w:sz w:val="32"/>
          <w:szCs w:val="32"/>
        </w:rPr>
        <w:t>权属及物权变动效力。坚持促进交易与规范市场并重，尊重市场主体关于房地产交易的自愿处分，促进房地产资产效用的整体发挥。严格把握无效合同和合同解除的认定标准，正确区分违反房地产法律、行政法规中强制性规定的不同法律后果，不轻易否定合同效力。依法规制妨碍房地产市场健康发展、违背房地产调控政策的违法违规行为，切实贯彻落实“房住不炒”定位。妥善处理房地产租赁等合同纠纷，对于不宜继续履行的租赁合同，可判决解除合同并及时组织办理房屋交接手续，从而打破合同僵局，减少财产空置损失。</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九、提升城市品质</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17.促进提升苏州历史文化名城的美誉度和影响力。</w:t>
      </w:r>
      <w:r w:rsidRPr="00692305">
        <w:rPr>
          <w:rFonts w:ascii="仿宋_GB2312" w:eastAsia="仿宋_GB2312" w:hint="eastAsia"/>
          <w:sz w:val="32"/>
          <w:szCs w:val="32"/>
        </w:rPr>
        <w:t>健全完善古城保护司法服务专项工作机制，发挥太湖流域环境资源</w:t>
      </w:r>
      <w:proofErr w:type="gramStart"/>
      <w:r w:rsidRPr="00692305">
        <w:rPr>
          <w:rFonts w:ascii="仿宋_GB2312" w:eastAsia="仿宋_GB2312" w:hint="eastAsia"/>
          <w:sz w:val="32"/>
          <w:szCs w:val="32"/>
        </w:rPr>
        <w:t>法庭环</w:t>
      </w:r>
      <w:proofErr w:type="gramEnd"/>
      <w:r w:rsidRPr="00692305">
        <w:rPr>
          <w:rFonts w:ascii="仿宋_GB2312" w:eastAsia="仿宋_GB2312" w:hint="eastAsia"/>
          <w:sz w:val="32"/>
          <w:szCs w:val="32"/>
        </w:rPr>
        <w:t>资审判优势，助力提升苏州城市人文与自然环境品质，打造“美丽幸福新天堂”。公正高效审理涉园林、工艺美术、建筑、桑蚕丝绸、大运河、民俗、名人等古城历史文化资源的案件，切实担当古城保护的司法责任。强化古城改造重点项目建设的司法服务工作，积极回应相关法律需求。坚持法治原则与现实情况相结合的思路，对接服务项目启动、建设、扫尾的重要节点，最大限度地预防化解纠纷、解决法律难题。妥善审理教育、医疗、交通等领域的各类案件，有效规范与提升城市公共服务品质。</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18.助力苏州“现代国际大都市”建设。</w:t>
      </w:r>
      <w:r w:rsidRPr="00692305">
        <w:rPr>
          <w:rFonts w:ascii="仿宋_GB2312" w:eastAsia="仿宋_GB2312" w:hint="eastAsia"/>
          <w:sz w:val="32"/>
          <w:szCs w:val="32"/>
        </w:rPr>
        <w:t>积极参与长三角一体化发展战略实施，强化与长三角地区各法院在诉讼服务、审判执行等方面的协同融合，出台《关于为长江三角洲区域一体化发展提供司法服务和保障的意见》，</w:t>
      </w:r>
      <w:proofErr w:type="gramStart"/>
      <w:r w:rsidRPr="00692305">
        <w:rPr>
          <w:rFonts w:ascii="仿宋_GB2312" w:eastAsia="仿宋_GB2312" w:hint="eastAsia"/>
          <w:sz w:val="32"/>
          <w:szCs w:val="32"/>
        </w:rPr>
        <w:t>助推长三角</w:t>
      </w:r>
      <w:proofErr w:type="gramEnd"/>
      <w:r w:rsidRPr="00692305">
        <w:rPr>
          <w:rFonts w:ascii="仿宋_GB2312" w:eastAsia="仿宋_GB2312" w:hint="eastAsia"/>
          <w:sz w:val="32"/>
          <w:szCs w:val="32"/>
        </w:rPr>
        <w:t>经济社会、生态文明一体化高质量发展。加强对文化产业、特色经济、传统老字号品牌等的司法保护力度，促进文化企业自主品牌建设，推动“苏工”“苏作”等文化</w:t>
      </w:r>
      <w:r w:rsidRPr="00692305">
        <w:rPr>
          <w:rFonts w:ascii="仿宋_GB2312" w:eastAsia="仿宋_GB2312"/>
          <w:sz w:val="32"/>
          <w:szCs w:val="32"/>
        </w:rPr>
        <w:t>IP成果的转化，助力具有较强竞争力的本土文化产品走向国际市场。深入研究数字经济、人工智能等新技术、新产业中涉著作权保护等法律问题，依法审理涉数据库、文化创意、动漫游戏等新兴文化产业的案件，规范与促进文化与科技深度融合。妥善审理</w:t>
      </w:r>
      <w:proofErr w:type="gramStart"/>
      <w:r w:rsidRPr="00692305">
        <w:rPr>
          <w:rFonts w:ascii="仿宋_GB2312" w:eastAsia="仿宋_GB2312"/>
          <w:sz w:val="32"/>
          <w:szCs w:val="32"/>
        </w:rPr>
        <w:t>涉国际</w:t>
      </w:r>
      <w:proofErr w:type="gramEnd"/>
      <w:r w:rsidRPr="00692305">
        <w:rPr>
          <w:rFonts w:ascii="仿宋_GB2312" w:eastAsia="仿宋_GB2312"/>
          <w:sz w:val="32"/>
          <w:szCs w:val="32"/>
        </w:rPr>
        <w:t>会展业中布展交易、配套服务等方面的纠纷，有效保护各类会展组织者、参展者的标志标识、衍生产品、展馆设计等载体相关权益，推动苏州建设具有国际影响力的会展</w:t>
      </w:r>
      <w:r w:rsidRPr="00692305">
        <w:rPr>
          <w:rFonts w:ascii="仿宋_GB2312" w:eastAsia="仿宋_GB2312" w:hint="eastAsia"/>
          <w:sz w:val="32"/>
          <w:szCs w:val="32"/>
        </w:rPr>
        <w:t>之都。</w:t>
      </w:r>
    </w:p>
    <w:p w:rsidR="00692305" w:rsidRPr="00692305" w:rsidRDefault="00692305" w:rsidP="00692305">
      <w:pPr>
        <w:spacing w:line="560" w:lineRule="exact"/>
        <w:ind w:firstLineChars="200" w:firstLine="640"/>
        <w:jc w:val="left"/>
        <w:rPr>
          <w:rFonts w:ascii="黑体" w:eastAsia="黑体" w:hAnsi="黑体"/>
          <w:sz w:val="32"/>
          <w:szCs w:val="32"/>
        </w:rPr>
      </w:pPr>
      <w:r w:rsidRPr="00692305">
        <w:rPr>
          <w:rFonts w:ascii="黑体" w:eastAsia="黑体" w:hAnsi="黑体" w:hint="eastAsia"/>
          <w:sz w:val="32"/>
          <w:szCs w:val="32"/>
        </w:rPr>
        <w:t>十、加强司法服务</w:t>
      </w:r>
    </w:p>
    <w:p w:rsidR="00692305" w:rsidRPr="00692305" w:rsidRDefault="00692305" w:rsidP="00692305">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19.加强对接“开放再出发”的司法服务。</w:t>
      </w:r>
      <w:r w:rsidRPr="00692305">
        <w:rPr>
          <w:rFonts w:ascii="仿宋_GB2312" w:eastAsia="仿宋_GB2312" w:hint="eastAsia"/>
          <w:sz w:val="32"/>
          <w:szCs w:val="32"/>
        </w:rPr>
        <w:t>找准服务“开放再出发”的切入点，把握依法公正与服务发展的结合点，紧紧围绕营商环境、创新发展、产业转型、有效投入和城市品质等重点领域，切实提升司法服务实效。积极推进诉讼服务、多元解纷“两个一站式”建设，进一步加强智审、智执、智服、智管的智慧法院建设，</w:t>
      </w:r>
      <w:proofErr w:type="gramStart"/>
      <w:r w:rsidRPr="00692305">
        <w:rPr>
          <w:rFonts w:ascii="仿宋_GB2312" w:eastAsia="仿宋_GB2312" w:hint="eastAsia"/>
          <w:sz w:val="32"/>
          <w:szCs w:val="32"/>
        </w:rPr>
        <w:t>完善线</w:t>
      </w:r>
      <w:proofErr w:type="gramEnd"/>
      <w:r w:rsidRPr="00692305">
        <w:rPr>
          <w:rFonts w:ascii="仿宋_GB2312" w:eastAsia="仿宋_GB2312" w:hint="eastAsia"/>
          <w:sz w:val="32"/>
          <w:szCs w:val="32"/>
        </w:rPr>
        <w:t>上线下相结合的全域诉讼服务系统，优化网上诉前分流和立案、开庭、调解、送达等司法模式，贴近对接“开放再出发”的改革要求，确保相关司法需求得到即时回应、实时办理、及时落实。支持与规范行政机关开展“开放再出发”相关的执法活动，依法妥善审理“开放再出发”政策措施落地过程中引发的行政案件，把握比例原则和有利于开放发展原则，保护企业等行政相对人的合法权益，监督与纠正行政机关的不规范履职行为。服务“放管服”改革，推动政府职能转变，维护规范、高效、透明的政务法治环境。</w:t>
      </w:r>
    </w:p>
    <w:p w:rsidR="00692305" w:rsidRDefault="00692305" w:rsidP="00CB50D1">
      <w:pPr>
        <w:spacing w:line="560" w:lineRule="exact"/>
        <w:ind w:firstLineChars="200" w:firstLine="640"/>
        <w:jc w:val="left"/>
        <w:rPr>
          <w:rFonts w:ascii="仿宋_GB2312" w:eastAsia="仿宋_GB2312"/>
          <w:sz w:val="32"/>
          <w:szCs w:val="32"/>
        </w:rPr>
      </w:pPr>
      <w:r w:rsidRPr="00692305">
        <w:rPr>
          <w:rFonts w:ascii="楷体" w:eastAsia="楷体" w:hAnsi="楷体" w:hint="eastAsia"/>
          <w:sz w:val="32"/>
          <w:szCs w:val="32"/>
        </w:rPr>
        <w:t>20.推动“开放再出发”与平安苏州、法治苏州建设相融合。</w:t>
      </w:r>
      <w:r w:rsidRPr="00692305">
        <w:rPr>
          <w:rFonts w:ascii="仿宋_GB2312" w:eastAsia="仿宋_GB2312" w:hint="eastAsia"/>
          <w:sz w:val="32"/>
          <w:szCs w:val="32"/>
        </w:rPr>
        <w:t>强化审判职能作用，深化平安苏州建设。坚持宽严相济刑事政策，依法惩处妨害开放发展的各类犯罪。纵深推进扫黑除恶专项斗争，严厉打击侵犯财产权、知识产权、破坏金融管理秩序、扰乱市场秩序等犯罪，有力促进市场化、法治化、国际化营商环境建设。充分发挥司法审判的定分止争作用，推进法治苏州建设。倡导形成守规则、讲诚信的社会氛围。着力强化诚信诉讼，完善切实解决执行难长效机制，充分保障胜诉当事人合法权益的实现，持续开展反规避执行专项行动，强化对失信被执行人的信用监督和惩戒，促进社会诚信体系建设。</w:t>
      </w: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CB50D1">
      <w:pPr>
        <w:spacing w:line="560" w:lineRule="exact"/>
        <w:ind w:firstLineChars="200" w:firstLine="640"/>
        <w:jc w:val="left"/>
        <w:rPr>
          <w:rFonts w:ascii="仿宋_GB2312" w:eastAsia="仿宋_GB2312"/>
          <w:sz w:val="32"/>
          <w:szCs w:val="32"/>
        </w:rPr>
      </w:pPr>
    </w:p>
    <w:p w:rsidR="00F23269" w:rsidRDefault="00F23269" w:rsidP="00F23269">
      <w:pPr>
        <w:spacing w:line="560" w:lineRule="exact"/>
        <w:jc w:val="left"/>
        <w:rPr>
          <w:rFonts w:ascii="仿宋_GB2312" w:eastAsia="仿宋_GB2312"/>
          <w:sz w:val="32"/>
          <w:szCs w:val="32"/>
        </w:rPr>
      </w:pPr>
    </w:p>
    <w:p w:rsidR="00F23269" w:rsidRDefault="00F23269" w:rsidP="00F23269">
      <w:pPr>
        <w:spacing w:line="560" w:lineRule="exact"/>
        <w:jc w:val="left"/>
        <w:rPr>
          <w:rFonts w:ascii="仿宋_GB2312" w:eastAsia="仿宋_GB2312"/>
          <w:sz w:val="32"/>
          <w:szCs w:val="32"/>
        </w:rPr>
      </w:pPr>
    </w:p>
    <w:p w:rsidR="00F23269" w:rsidRDefault="00F23269" w:rsidP="00F23269">
      <w:pPr>
        <w:spacing w:line="560" w:lineRule="exact"/>
        <w:jc w:val="left"/>
        <w:rPr>
          <w:rFonts w:ascii="仿宋_GB2312" w:eastAsia="仿宋_GB2312"/>
          <w:sz w:val="32"/>
          <w:szCs w:val="32"/>
        </w:rPr>
      </w:pPr>
    </w:p>
    <w:p w:rsidR="00F23269" w:rsidRDefault="00F23269" w:rsidP="00F23269">
      <w:pPr>
        <w:spacing w:line="560" w:lineRule="exact"/>
        <w:jc w:val="left"/>
        <w:rPr>
          <w:rFonts w:ascii="仿宋_GB2312" w:eastAsia="仿宋_GB2312"/>
          <w:sz w:val="32"/>
          <w:szCs w:val="32"/>
        </w:rPr>
      </w:pPr>
    </w:p>
    <w:p w:rsidR="00F23269" w:rsidRDefault="00F23269" w:rsidP="00F23269">
      <w:pPr>
        <w:spacing w:line="560" w:lineRule="exact"/>
        <w:jc w:val="left"/>
        <w:rPr>
          <w:rFonts w:ascii="仿宋_GB2312" w:eastAsia="仿宋_GB2312"/>
          <w:sz w:val="32"/>
          <w:szCs w:val="32"/>
        </w:rPr>
      </w:pPr>
    </w:p>
    <w:p w:rsidR="00F23269" w:rsidRDefault="00F23269" w:rsidP="00F23269">
      <w:pPr>
        <w:spacing w:line="560" w:lineRule="exact"/>
        <w:jc w:val="left"/>
        <w:rPr>
          <w:rFonts w:ascii="仿宋_GB2312" w:eastAsia="仿宋_GB2312"/>
          <w:sz w:val="32"/>
          <w:szCs w:val="32"/>
        </w:rPr>
      </w:pPr>
    </w:p>
    <w:p w:rsidR="00F23269" w:rsidRDefault="00F23269" w:rsidP="00F23269">
      <w:pPr>
        <w:spacing w:line="560" w:lineRule="exact"/>
        <w:jc w:val="left"/>
        <w:rPr>
          <w:rFonts w:ascii="仿宋_GB2312" w:eastAsia="仿宋_GB2312"/>
          <w:sz w:val="32"/>
          <w:szCs w:val="32"/>
        </w:rPr>
      </w:pPr>
    </w:p>
    <w:p w:rsidR="00F23269" w:rsidRPr="00F23269" w:rsidRDefault="00F23269" w:rsidP="00F23269">
      <w:pPr>
        <w:spacing w:line="560" w:lineRule="exact"/>
        <w:ind w:firstLineChars="100" w:firstLine="280"/>
        <w:jc w:val="left"/>
        <w:rPr>
          <w:rFonts w:ascii="仿宋_GB2312" w:eastAsia="仿宋_GB2312"/>
          <w:sz w:val="32"/>
          <w:szCs w:val="32"/>
        </w:rPr>
      </w:pPr>
      <w:r>
        <w:rPr>
          <w:rFonts w:ascii="仿宋" w:eastAsia="仿宋" w:hAnsi="仿宋"/>
          <w:noProof/>
          <w:sz w:val="28"/>
          <w:szCs w:val="28"/>
        </w:rPr>
        <mc:AlternateContent>
          <mc:Choice Requires="wps">
            <w:drawing>
              <wp:anchor distT="0" distB="0" distL="114300" distR="114300" simplePos="0" relativeHeight="251656192" behindDoc="0" locked="0" layoutInCell="1" allowOverlap="1" wp14:anchorId="7465D109" wp14:editId="01114294">
                <wp:simplePos x="0" y="0"/>
                <wp:positionH relativeFrom="column">
                  <wp:posOffset>15240</wp:posOffset>
                </wp:positionH>
                <wp:positionV relativeFrom="paragraph">
                  <wp:posOffset>25400</wp:posOffset>
                </wp:positionV>
                <wp:extent cx="5596890" cy="0"/>
                <wp:effectExtent l="15240" t="15875" r="17145" b="1270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6890" cy="0"/>
                        </a:xfrm>
                        <a:prstGeom prst="line">
                          <a:avLst/>
                        </a:prstGeom>
                        <a:noFill/>
                        <a:ln w="158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直接连接符 1" o:spid="_x0000_s1026" style="position:absolute;left:0;text-align:lef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2pt" to="441.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" strokecolor="black [3213]" strokeweight="1.25pt"/>
            </w:pict>
          </mc:Fallback>
        </mc:AlternateContent>
      </w:r>
      <w:r>
        <w:rPr>
          <w:rFonts w:ascii="仿宋" w:eastAsia="仿宋" w:hAnsi="仿宋"/>
          <w:noProof/>
          <w:sz w:val="28"/>
          <w:szCs w:val="28"/>
        </w:rPr>
        <mc:AlternateContent>
          <mc:Choice Requires="wps">
            <w:drawing>
              <wp:anchor distT="4294967295" distB="4294967295" distL="114300" distR="114300" simplePos="0" relativeHeight="251657216" behindDoc="0" locked="0" layoutInCell="1" allowOverlap="1" wp14:anchorId="0E33E86F" wp14:editId="7868946F">
                <wp:simplePos x="0" y="0"/>
                <wp:positionH relativeFrom="column">
                  <wp:posOffset>15240</wp:posOffset>
                </wp:positionH>
                <wp:positionV relativeFrom="paragraph">
                  <wp:posOffset>367029</wp:posOffset>
                </wp:positionV>
                <wp:extent cx="5596890" cy="0"/>
                <wp:effectExtent l="0" t="0" r="22860"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9689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4"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pt,28.9pt" to="441.9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" strokecolor="black [3213]" strokeweight="1.25pt">
                <o:lock v:ext="edit" shapetype="f"/>
              </v:line>
            </w:pict>
          </mc:Fallback>
        </mc:AlternateContent>
      </w:r>
      <w:r w:rsidRPr="000F174B">
        <w:rPr>
          <w:rFonts w:ascii="仿宋" w:eastAsia="仿宋" w:hAnsi="仿宋" w:hint="eastAsia"/>
          <w:sz w:val="28"/>
          <w:szCs w:val="28"/>
        </w:rPr>
        <w:t>苏州市中级人民法院办公室</w:t>
      </w:r>
      <w:r>
        <w:rPr>
          <w:rFonts w:ascii="仿宋" w:eastAsia="仿宋" w:hAnsi="仿宋" w:hint="eastAsia"/>
          <w:sz w:val="28"/>
          <w:szCs w:val="28"/>
        </w:rPr>
        <w:t xml:space="preserve">               2020年3月12日印发</w:t>
      </w:r>
    </w:p>
    <w:sectPr w:rsidR="00F23269" w:rsidRPr="00F23269" w:rsidSect="00692305">
      <w:footerReference w:type="default" r:id="rId9"/>
      <w:pgSz w:w="11906" w:h="16838"/>
      <w:pgMar w:top="1418" w:right="1418" w:bottom="1701" w:left="1418"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21F" w:rsidRDefault="0017621F">
      <w:r>
        <w:separator/>
      </w:r>
    </w:p>
  </w:endnote>
  <w:endnote w:type="continuationSeparator" w:id="0">
    <w:p w:rsidR="0017621F" w:rsidRDefault="00176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7346115"/>
      <w:docPartObj>
        <w:docPartGallery w:val="Page Numbers (Bottom of Page)"/>
        <w:docPartUnique/>
      </w:docPartObj>
    </w:sdtPr>
    <w:sdtEndPr>
      <w:rPr>
        <w:rFonts w:asciiTheme="minorEastAsia" w:hAnsiTheme="minorEastAsia"/>
        <w:sz w:val="28"/>
        <w:szCs w:val="28"/>
      </w:rPr>
    </w:sdtEndPr>
    <w:sdtContent>
      <w:p w:rsidR="00E2227F" w:rsidRPr="00692305" w:rsidRDefault="00472C26" w:rsidP="00692305">
        <w:pPr>
          <w:pStyle w:val="a3"/>
          <w:jc w:val="center"/>
          <w:rPr>
            <w:rFonts w:asciiTheme="minorEastAsia" w:hAnsiTheme="minorEastAsia"/>
            <w:sz w:val="28"/>
            <w:szCs w:val="28"/>
          </w:rPr>
        </w:pPr>
        <w:r w:rsidRPr="00692305">
          <w:rPr>
            <w:rFonts w:asciiTheme="minorEastAsia" w:hAnsiTheme="minorEastAsia"/>
            <w:sz w:val="28"/>
            <w:szCs w:val="28"/>
          </w:rPr>
          <w:fldChar w:fldCharType="begin"/>
        </w:r>
        <w:r w:rsidR="00571D5A" w:rsidRPr="00692305">
          <w:rPr>
            <w:rFonts w:asciiTheme="minorEastAsia" w:hAnsiTheme="minorEastAsia"/>
            <w:sz w:val="28"/>
            <w:szCs w:val="28"/>
          </w:rPr>
          <w:instrText>PAGE   \* MERGEFORMAT</w:instrText>
        </w:r>
        <w:r w:rsidRPr="00692305">
          <w:rPr>
            <w:rFonts w:asciiTheme="minorEastAsia" w:hAnsiTheme="minorEastAsia"/>
            <w:sz w:val="28"/>
            <w:szCs w:val="28"/>
          </w:rPr>
          <w:fldChar w:fldCharType="separate"/>
        </w:r>
        <w:r w:rsidR="00E223A1" w:rsidRPr="00E223A1">
          <w:rPr>
            <w:rFonts w:asciiTheme="minorEastAsia" w:hAnsiTheme="minorEastAsia"/>
            <w:noProof/>
            <w:sz w:val="28"/>
            <w:szCs w:val="28"/>
            <w:lang w:val="zh-CN"/>
          </w:rPr>
          <w:t>-</w:t>
        </w:r>
        <w:r w:rsidR="00E223A1">
          <w:rPr>
            <w:rFonts w:asciiTheme="minorEastAsia" w:hAnsiTheme="minorEastAsia"/>
            <w:noProof/>
            <w:sz w:val="28"/>
            <w:szCs w:val="28"/>
          </w:rPr>
          <w:t xml:space="preserve"> 12 -</w:t>
        </w:r>
        <w:r w:rsidRPr="00692305">
          <w:rPr>
            <w:rFonts w:asciiTheme="minorEastAsia" w:hAnsiTheme="minor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21F" w:rsidRDefault="0017621F">
      <w:r>
        <w:separator/>
      </w:r>
    </w:p>
  </w:footnote>
  <w:footnote w:type="continuationSeparator" w:id="0">
    <w:p w:rsidR="0017621F" w:rsidRDefault="001762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27667"/>
    <w:multiLevelType w:val="hybridMultilevel"/>
    <w:tmpl w:val="D9DC7ECE"/>
    <w:lvl w:ilvl="0" w:tplc="5080D884">
      <w:start w:val="1"/>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revisionView w:markup="0"/>
  <w:documentProtection w:edit="forms" w:enforcement="0"/>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
  <w:docVars>
    <w:docVar w:name="{4F796569-67F5-4BFC-8665-9D1852D0CF6D}" w:val="13Z4LnfxPq+=db7iCHYNcp8AuvXIrK/5BjmFWgyo6hMGSU9wTOektVzJEQl02saRD"/>
    <w:docVar w:name="{87D1396F-904B-426A-8E88-A0282EFFA25B}" w:val="13Z4LnfxPq+=db7iCHYNcp8AuvXIrK/5BjmFWgyo6hMGSU9wTOektVzJEQl02saRD"/>
    <w:docVar w:name="DocumentID" w:val="{5F8C2EA4-13EC-4DBD-B767-12C379A85B36}_1"/>
  </w:docVars>
  <w:rsids>
    <w:rsidRoot w:val="00F104E1"/>
    <w:rsid w:val="000350C5"/>
    <w:rsid w:val="00051627"/>
    <w:rsid w:val="0005267B"/>
    <w:rsid w:val="0006346D"/>
    <w:rsid w:val="0008456B"/>
    <w:rsid w:val="00097497"/>
    <w:rsid w:val="000B68A1"/>
    <w:rsid w:val="000C4746"/>
    <w:rsid w:val="000C70A1"/>
    <w:rsid w:val="000D2899"/>
    <w:rsid w:val="000F3560"/>
    <w:rsid w:val="001169CA"/>
    <w:rsid w:val="0014211E"/>
    <w:rsid w:val="001755E3"/>
    <w:rsid w:val="00175683"/>
    <w:rsid w:val="0017621F"/>
    <w:rsid w:val="001B2C22"/>
    <w:rsid w:val="001C7AFE"/>
    <w:rsid w:val="001F4E3B"/>
    <w:rsid w:val="0022356B"/>
    <w:rsid w:val="0022530F"/>
    <w:rsid w:val="0023160A"/>
    <w:rsid w:val="00233783"/>
    <w:rsid w:val="00235BE1"/>
    <w:rsid w:val="002551CE"/>
    <w:rsid w:val="00255419"/>
    <w:rsid w:val="00260AF2"/>
    <w:rsid w:val="002A1B7F"/>
    <w:rsid w:val="002B72C7"/>
    <w:rsid w:val="002C7E9C"/>
    <w:rsid w:val="002D1626"/>
    <w:rsid w:val="00320ED7"/>
    <w:rsid w:val="00340DF6"/>
    <w:rsid w:val="003479D2"/>
    <w:rsid w:val="003A014F"/>
    <w:rsid w:val="003A1B07"/>
    <w:rsid w:val="003C2595"/>
    <w:rsid w:val="00463529"/>
    <w:rsid w:val="00465FDE"/>
    <w:rsid w:val="00472C26"/>
    <w:rsid w:val="00473C31"/>
    <w:rsid w:val="004858BF"/>
    <w:rsid w:val="004C1319"/>
    <w:rsid w:val="004D704B"/>
    <w:rsid w:val="004E24B0"/>
    <w:rsid w:val="004F29CE"/>
    <w:rsid w:val="0051416E"/>
    <w:rsid w:val="0055031B"/>
    <w:rsid w:val="00550F4A"/>
    <w:rsid w:val="005548C4"/>
    <w:rsid w:val="00566F95"/>
    <w:rsid w:val="00571D5A"/>
    <w:rsid w:val="0057557B"/>
    <w:rsid w:val="00587CA7"/>
    <w:rsid w:val="005B1BE7"/>
    <w:rsid w:val="005B4E05"/>
    <w:rsid w:val="005B73EF"/>
    <w:rsid w:val="005F1D3B"/>
    <w:rsid w:val="00600284"/>
    <w:rsid w:val="006267F4"/>
    <w:rsid w:val="00636522"/>
    <w:rsid w:val="006449EF"/>
    <w:rsid w:val="00664097"/>
    <w:rsid w:val="006761D3"/>
    <w:rsid w:val="00692305"/>
    <w:rsid w:val="0069379E"/>
    <w:rsid w:val="006D0A78"/>
    <w:rsid w:val="006D7329"/>
    <w:rsid w:val="00710DBC"/>
    <w:rsid w:val="00721929"/>
    <w:rsid w:val="007228C5"/>
    <w:rsid w:val="00734C0B"/>
    <w:rsid w:val="00751A6F"/>
    <w:rsid w:val="00752D1E"/>
    <w:rsid w:val="007533B8"/>
    <w:rsid w:val="0077560F"/>
    <w:rsid w:val="00794101"/>
    <w:rsid w:val="007B4383"/>
    <w:rsid w:val="007D0C38"/>
    <w:rsid w:val="007E5622"/>
    <w:rsid w:val="007F297E"/>
    <w:rsid w:val="00816FDE"/>
    <w:rsid w:val="00834369"/>
    <w:rsid w:val="0084456B"/>
    <w:rsid w:val="00874645"/>
    <w:rsid w:val="008A3AAF"/>
    <w:rsid w:val="008D608C"/>
    <w:rsid w:val="008F0F77"/>
    <w:rsid w:val="009145D0"/>
    <w:rsid w:val="00930A90"/>
    <w:rsid w:val="00943958"/>
    <w:rsid w:val="00950511"/>
    <w:rsid w:val="00964A45"/>
    <w:rsid w:val="00980C9E"/>
    <w:rsid w:val="009A1F67"/>
    <w:rsid w:val="009C74C0"/>
    <w:rsid w:val="009E15AC"/>
    <w:rsid w:val="009F0596"/>
    <w:rsid w:val="00A22055"/>
    <w:rsid w:val="00A376A5"/>
    <w:rsid w:val="00A610DF"/>
    <w:rsid w:val="00A6253C"/>
    <w:rsid w:val="00A7173E"/>
    <w:rsid w:val="00AB3655"/>
    <w:rsid w:val="00AC5005"/>
    <w:rsid w:val="00AE4A53"/>
    <w:rsid w:val="00B1046F"/>
    <w:rsid w:val="00B1064F"/>
    <w:rsid w:val="00B242F4"/>
    <w:rsid w:val="00B2687E"/>
    <w:rsid w:val="00B601EC"/>
    <w:rsid w:val="00B6446D"/>
    <w:rsid w:val="00B84C7C"/>
    <w:rsid w:val="00B8592A"/>
    <w:rsid w:val="00B85FB4"/>
    <w:rsid w:val="00B918BE"/>
    <w:rsid w:val="00BA1E62"/>
    <w:rsid w:val="00BB3E49"/>
    <w:rsid w:val="00BD76C2"/>
    <w:rsid w:val="00BE4BE9"/>
    <w:rsid w:val="00BF3E69"/>
    <w:rsid w:val="00C1603D"/>
    <w:rsid w:val="00C1735C"/>
    <w:rsid w:val="00C61FC8"/>
    <w:rsid w:val="00C7799F"/>
    <w:rsid w:val="00C80BF3"/>
    <w:rsid w:val="00C84962"/>
    <w:rsid w:val="00C97AD0"/>
    <w:rsid w:val="00CB50D1"/>
    <w:rsid w:val="00CB7AFB"/>
    <w:rsid w:val="00CC0058"/>
    <w:rsid w:val="00CC013A"/>
    <w:rsid w:val="00CC48F7"/>
    <w:rsid w:val="00CD395B"/>
    <w:rsid w:val="00D04C8B"/>
    <w:rsid w:val="00D3428B"/>
    <w:rsid w:val="00D57891"/>
    <w:rsid w:val="00D57C14"/>
    <w:rsid w:val="00D630A4"/>
    <w:rsid w:val="00D750D6"/>
    <w:rsid w:val="00D8321D"/>
    <w:rsid w:val="00DB6E26"/>
    <w:rsid w:val="00DD3D06"/>
    <w:rsid w:val="00DE1D04"/>
    <w:rsid w:val="00DE2586"/>
    <w:rsid w:val="00E045B9"/>
    <w:rsid w:val="00E17DA9"/>
    <w:rsid w:val="00E203BF"/>
    <w:rsid w:val="00E223A1"/>
    <w:rsid w:val="00E34CFC"/>
    <w:rsid w:val="00E44725"/>
    <w:rsid w:val="00E8796C"/>
    <w:rsid w:val="00ED5E38"/>
    <w:rsid w:val="00EF2679"/>
    <w:rsid w:val="00EF5851"/>
    <w:rsid w:val="00F104E1"/>
    <w:rsid w:val="00F10C2A"/>
    <w:rsid w:val="00F23269"/>
    <w:rsid w:val="00F31D07"/>
    <w:rsid w:val="00F42A8C"/>
    <w:rsid w:val="00F5742B"/>
    <w:rsid w:val="00F6110B"/>
    <w:rsid w:val="00F7368B"/>
    <w:rsid w:val="00F86927"/>
    <w:rsid w:val="00FA7FC2"/>
    <w:rsid w:val="00FE0DD9"/>
    <w:rsid w:val="00FF3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4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F104E1"/>
    <w:pPr>
      <w:tabs>
        <w:tab w:val="center" w:pos="4153"/>
        <w:tab w:val="right" w:pos="8306"/>
      </w:tabs>
      <w:snapToGrid w:val="0"/>
      <w:jc w:val="left"/>
    </w:pPr>
    <w:rPr>
      <w:sz w:val="18"/>
      <w:szCs w:val="18"/>
    </w:rPr>
  </w:style>
  <w:style w:type="character" w:customStyle="1" w:styleId="Char">
    <w:name w:val="页脚 Char"/>
    <w:basedOn w:val="a0"/>
    <w:link w:val="a3"/>
    <w:uiPriority w:val="99"/>
    <w:rsid w:val="00F104E1"/>
    <w:rPr>
      <w:sz w:val="18"/>
      <w:szCs w:val="18"/>
    </w:rPr>
  </w:style>
  <w:style w:type="paragraph" w:styleId="a4">
    <w:name w:val="header"/>
    <w:basedOn w:val="a"/>
    <w:link w:val="Char0"/>
    <w:uiPriority w:val="99"/>
    <w:unhideWhenUsed/>
    <w:rsid w:val="00F7368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F7368B"/>
    <w:rPr>
      <w:sz w:val="18"/>
      <w:szCs w:val="18"/>
    </w:rPr>
  </w:style>
  <w:style w:type="paragraph" w:styleId="a5">
    <w:name w:val="Date"/>
    <w:basedOn w:val="a"/>
    <w:next w:val="a"/>
    <w:link w:val="Char1"/>
    <w:uiPriority w:val="99"/>
    <w:semiHidden/>
    <w:unhideWhenUsed/>
    <w:rsid w:val="00E8796C"/>
    <w:pPr>
      <w:ind w:leftChars="2500" w:left="100"/>
    </w:pPr>
  </w:style>
  <w:style w:type="character" w:customStyle="1" w:styleId="Char1">
    <w:name w:val="日期 Char"/>
    <w:basedOn w:val="a0"/>
    <w:link w:val="a5"/>
    <w:uiPriority w:val="99"/>
    <w:semiHidden/>
    <w:rsid w:val="00E8796C"/>
  </w:style>
  <w:style w:type="table" w:styleId="a6">
    <w:name w:val="Table Grid"/>
    <w:basedOn w:val="a1"/>
    <w:uiPriority w:val="59"/>
    <w:rsid w:val="00E879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2"/>
    <w:uiPriority w:val="99"/>
    <w:semiHidden/>
    <w:unhideWhenUsed/>
    <w:rsid w:val="00EF5851"/>
    <w:rPr>
      <w:sz w:val="18"/>
      <w:szCs w:val="18"/>
    </w:rPr>
  </w:style>
  <w:style w:type="character" w:customStyle="1" w:styleId="Char2">
    <w:name w:val="批注框文本 Char"/>
    <w:basedOn w:val="a0"/>
    <w:link w:val="a7"/>
    <w:uiPriority w:val="99"/>
    <w:semiHidden/>
    <w:rsid w:val="00EF5851"/>
    <w:rPr>
      <w:sz w:val="18"/>
      <w:szCs w:val="18"/>
    </w:rPr>
  </w:style>
  <w:style w:type="paragraph" w:styleId="a8">
    <w:name w:val="List Paragraph"/>
    <w:basedOn w:val="a"/>
    <w:uiPriority w:val="34"/>
    <w:qFormat/>
    <w:rsid w:val="00692305"/>
    <w:pPr>
      <w:widowControl/>
      <w:spacing w:line="560" w:lineRule="exact"/>
      <w:ind w:firstLineChars="200" w:firstLine="420"/>
    </w:pPr>
    <w:rPr>
      <w:rFonts w:ascii="仿宋_GB2312" w:eastAsia="仿宋_GB2312"/>
      <w:sz w:val="32"/>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4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F104E1"/>
    <w:pPr>
      <w:tabs>
        <w:tab w:val="center" w:pos="4153"/>
        <w:tab w:val="right" w:pos="8306"/>
      </w:tabs>
      <w:snapToGrid w:val="0"/>
      <w:jc w:val="left"/>
    </w:pPr>
    <w:rPr>
      <w:sz w:val="18"/>
      <w:szCs w:val="18"/>
    </w:rPr>
  </w:style>
  <w:style w:type="character" w:customStyle="1" w:styleId="Char">
    <w:name w:val="页脚 Char"/>
    <w:basedOn w:val="a0"/>
    <w:link w:val="a3"/>
    <w:uiPriority w:val="99"/>
    <w:rsid w:val="00F104E1"/>
    <w:rPr>
      <w:sz w:val="18"/>
      <w:szCs w:val="18"/>
    </w:rPr>
  </w:style>
  <w:style w:type="paragraph" w:styleId="a4">
    <w:name w:val="header"/>
    <w:basedOn w:val="a"/>
    <w:link w:val="Char0"/>
    <w:uiPriority w:val="99"/>
    <w:unhideWhenUsed/>
    <w:rsid w:val="00F7368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F7368B"/>
    <w:rPr>
      <w:sz w:val="18"/>
      <w:szCs w:val="18"/>
    </w:rPr>
  </w:style>
  <w:style w:type="paragraph" w:styleId="a5">
    <w:name w:val="Date"/>
    <w:basedOn w:val="a"/>
    <w:next w:val="a"/>
    <w:link w:val="Char1"/>
    <w:uiPriority w:val="99"/>
    <w:semiHidden/>
    <w:unhideWhenUsed/>
    <w:rsid w:val="00E8796C"/>
    <w:pPr>
      <w:ind w:leftChars="2500" w:left="100"/>
    </w:pPr>
  </w:style>
  <w:style w:type="character" w:customStyle="1" w:styleId="Char1">
    <w:name w:val="日期 Char"/>
    <w:basedOn w:val="a0"/>
    <w:link w:val="a5"/>
    <w:uiPriority w:val="99"/>
    <w:semiHidden/>
    <w:rsid w:val="00E8796C"/>
  </w:style>
  <w:style w:type="table" w:styleId="a6">
    <w:name w:val="Table Grid"/>
    <w:basedOn w:val="a1"/>
    <w:uiPriority w:val="59"/>
    <w:rsid w:val="00E879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2"/>
    <w:uiPriority w:val="99"/>
    <w:semiHidden/>
    <w:unhideWhenUsed/>
    <w:rsid w:val="00EF5851"/>
    <w:rPr>
      <w:sz w:val="18"/>
      <w:szCs w:val="18"/>
    </w:rPr>
  </w:style>
  <w:style w:type="character" w:customStyle="1" w:styleId="Char2">
    <w:name w:val="批注框文本 Char"/>
    <w:basedOn w:val="a0"/>
    <w:link w:val="a7"/>
    <w:uiPriority w:val="99"/>
    <w:semiHidden/>
    <w:rsid w:val="00EF5851"/>
    <w:rPr>
      <w:sz w:val="18"/>
      <w:szCs w:val="18"/>
    </w:rPr>
  </w:style>
  <w:style w:type="paragraph" w:styleId="a8">
    <w:name w:val="List Paragraph"/>
    <w:basedOn w:val="a"/>
    <w:uiPriority w:val="34"/>
    <w:qFormat/>
    <w:rsid w:val="00692305"/>
    <w:pPr>
      <w:widowControl/>
      <w:spacing w:line="560" w:lineRule="exact"/>
      <w:ind w:firstLineChars="200" w:firstLine="420"/>
    </w:pPr>
    <w:rPr>
      <w:rFonts w:ascii="仿宋_GB2312" w:eastAsia="仿宋_GB2312"/>
      <w:sz w:val="32"/>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0964D-9E3A-4EE6-827D-AF8AA64CE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1075</Words>
  <Characters>6129</Characters>
  <Application>Microsoft Office Word</Application>
  <DocSecurity>0</DocSecurity>
  <Lines>51</Lines>
  <Paragraphs>14</Paragraphs>
  <ScaleCrop>false</ScaleCrop>
  <Company>china</Company>
  <LinksUpToDate>false</LinksUpToDate>
  <CharactersWithSpaces>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周雯莉</cp:lastModifiedBy>
  <cp:revision>3</cp:revision>
  <cp:lastPrinted>2019-10-25T05:26:00Z</cp:lastPrinted>
  <dcterms:created xsi:type="dcterms:W3CDTF">2020-05-20T05:08:00Z</dcterms:created>
  <dcterms:modified xsi:type="dcterms:W3CDTF">2020-05-20T05:09:00Z</dcterms:modified>
</cp:coreProperties>
</file>