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45" w:rsidRPr="00B3440F" w:rsidRDefault="00726445" w:rsidP="00B3440F">
      <w:pPr>
        <w:spacing w:line="580" w:lineRule="exact"/>
      </w:pPr>
    </w:p>
    <w:p w:rsidR="00E22258" w:rsidRPr="00B3440F" w:rsidRDefault="00E22258" w:rsidP="00B3440F">
      <w:pPr>
        <w:spacing w:line="580" w:lineRule="exact"/>
      </w:pPr>
    </w:p>
    <w:p w:rsidR="001671E5" w:rsidRPr="00B3440F" w:rsidRDefault="001671E5" w:rsidP="00B3440F">
      <w:pPr>
        <w:spacing w:line="580" w:lineRule="exact"/>
      </w:pPr>
    </w:p>
    <w:p w:rsidR="00E22258" w:rsidRPr="00B3440F" w:rsidRDefault="000C6819" w:rsidP="00B3440F">
      <w:pPr>
        <w:spacing w:line="580" w:lineRule="exact"/>
        <w:rPr>
          <w:rFonts w:eastAsia="方正小标宋简体"/>
          <w:w w:val="70"/>
          <w:sz w:val="136"/>
          <w:szCs w:val="136"/>
        </w:rPr>
      </w:pPr>
      <w:r>
        <w:rPr>
          <w:rFonts w:eastAsia="方正小标宋简体" w:hint="eastAsia"/>
          <w:noProof/>
          <w:sz w:val="136"/>
          <w:szCs w:val="136"/>
        </w:rPr>
        <w:drawing>
          <wp:anchor distT="0" distB="0" distL="114300" distR="114300" simplePos="0" relativeHeight="251658240" behindDoc="1" locked="0" layoutInCell="1" allowOverlap="1">
            <wp:simplePos x="0" y="0"/>
            <wp:positionH relativeFrom="column">
              <wp:align>center</wp:align>
            </wp:positionH>
            <wp:positionV relativeFrom="paragraph">
              <wp:posOffset>188595</wp:posOffset>
            </wp:positionV>
            <wp:extent cx="5633720" cy="1060450"/>
            <wp:effectExtent l="0" t="0" r="5080" b="6350"/>
            <wp:wrapNone/>
            <wp:docPr id="49" name="图片 49"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苏州市人民政府文件"/>
                    <pic:cNvPicPr>
                      <a:picLocks noChangeAspect="1" noChangeArrowheads="1"/>
                    </pic:cNvPicPr>
                  </pic:nvPicPr>
                  <pic:blipFill>
                    <a:blip r:embed="rId8" cstate="print">
                      <a:extLst>
                        <a:ext uri="{28A0092B-C50C-407E-A947-70E740481C1C}">
                          <a14:useLocalDpi xmlns:a14="http://schemas.microsoft.com/office/drawing/2010/main" val="0"/>
                        </a:ext>
                      </a:extLst>
                    </a:blip>
                    <a:srcRect b="50809"/>
                    <a:stretch>
                      <a:fillRect/>
                    </a:stretch>
                  </pic:blipFill>
                  <pic:spPr bwMode="auto">
                    <a:xfrm>
                      <a:off x="0" y="0"/>
                      <a:ext cx="5633720" cy="1060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22258" w:rsidRPr="00B3440F" w:rsidRDefault="00E22258" w:rsidP="00B3440F">
      <w:pPr>
        <w:spacing w:line="580" w:lineRule="exact"/>
      </w:pPr>
    </w:p>
    <w:p w:rsidR="0036428B" w:rsidRPr="00B3440F" w:rsidRDefault="0036428B" w:rsidP="00B3440F">
      <w:pPr>
        <w:spacing w:line="580" w:lineRule="exact"/>
      </w:pPr>
    </w:p>
    <w:p w:rsidR="006A3A31" w:rsidRPr="00B3440F" w:rsidRDefault="006A3A31" w:rsidP="001F2847">
      <w:pPr>
        <w:spacing w:line="800" w:lineRule="exact"/>
      </w:pPr>
    </w:p>
    <w:p w:rsidR="00784ADD" w:rsidRPr="00B3440F" w:rsidRDefault="00B3440F" w:rsidP="00B3440F">
      <w:pPr>
        <w:spacing w:line="580" w:lineRule="exact"/>
        <w:jc w:val="center"/>
      </w:pPr>
      <w:r w:rsidRPr="00B3440F">
        <w:rPr>
          <w:rFonts w:hint="eastAsia"/>
        </w:rPr>
        <w:t>苏府</w:t>
      </w:r>
      <w:proofErr w:type="gramStart"/>
      <w:r w:rsidR="00E40EE9">
        <w:rPr>
          <w:rFonts w:hint="eastAsia"/>
        </w:rPr>
        <w:t>规</w:t>
      </w:r>
      <w:proofErr w:type="gramEnd"/>
      <w:r w:rsidR="00E40EE9">
        <w:rPr>
          <w:rFonts w:hint="eastAsia"/>
        </w:rPr>
        <w:t>字</w:t>
      </w:r>
      <w:r w:rsidRPr="00B3440F">
        <w:rPr>
          <w:rFonts w:ascii="仿宋_GB2312" w:hint="eastAsia"/>
        </w:rPr>
        <w:t>〔20</w:t>
      </w:r>
      <w:r w:rsidR="004B60EE">
        <w:rPr>
          <w:rFonts w:ascii="仿宋_GB2312" w:hint="eastAsia"/>
        </w:rPr>
        <w:t>2</w:t>
      </w:r>
      <w:r w:rsidR="00C113ED">
        <w:rPr>
          <w:rFonts w:ascii="仿宋_GB2312" w:hint="eastAsia"/>
        </w:rPr>
        <w:t>5</w:t>
      </w:r>
      <w:r w:rsidRPr="00B3440F">
        <w:rPr>
          <w:rFonts w:ascii="仿宋_GB2312" w:hint="eastAsia"/>
        </w:rPr>
        <w:t>〕</w:t>
      </w:r>
      <w:r w:rsidR="0092699C">
        <w:rPr>
          <w:rFonts w:ascii="仿宋_GB2312" w:hint="eastAsia"/>
        </w:rPr>
        <w:t>19</w:t>
      </w:r>
      <w:r w:rsidRPr="00B3440F">
        <w:rPr>
          <w:rFonts w:ascii="仿宋_GB2312" w:hint="eastAsia"/>
        </w:rPr>
        <w:t>号</w:t>
      </w:r>
    </w:p>
    <w:p w:rsidR="00E22258" w:rsidRPr="00B3440F" w:rsidRDefault="000C6819" w:rsidP="001F2847">
      <w:pPr>
        <w:spacing w:line="360" w:lineRule="exact"/>
      </w:pPr>
      <w:r>
        <w:rPr>
          <w:rFonts w:hint="eastAsia"/>
          <w:noProof/>
        </w:rPr>
        <w:drawing>
          <wp:anchor distT="0" distB="0" distL="114300" distR="114300" simplePos="0" relativeHeight="251657216" behindDoc="1" locked="0" layoutInCell="1" allowOverlap="1">
            <wp:simplePos x="0" y="0"/>
            <wp:positionH relativeFrom="column">
              <wp:align>center</wp:align>
            </wp:positionH>
            <wp:positionV relativeFrom="paragraph">
              <wp:posOffset>55245</wp:posOffset>
            </wp:positionV>
            <wp:extent cx="5652135" cy="167005"/>
            <wp:effectExtent l="0" t="0" r="5715" b="4445"/>
            <wp:wrapNone/>
            <wp:docPr id="42" name="图片 42"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苏州市人民政府文件"/>
                    <pic:cNvPicPr>
                      <a:picLocks noChangeAspect="1" noChangeArrowheads="1"/>
                    </pic:cNvPicPr>
                  </pic:nvPicPr>
                  <pic:blipFill>
                    <a:blip r:embed="rId8" cstate="print">
                      <a:extLst>
                        <a:ext uri="{28A0092B-C50C-407E-A947-70E740481C1C}">
                          <a14:useLocalDpi xmlns:a14="http://schemas.microsoft.com/office/drawing/2010/main" val="0"/>
                        </a:ext>
                      </a:extLst>
                    </a:blip>
                    <a:srcRect t="92290"/>
                    <a:stretch>
                      <a:fillRect/>
                    </a:stretch>
                  </pic:blipFill>
                  <pic:spPr bwMode="auto">
                    <a:xfrm>
                      <a:off x="0" y="0"/>
                      <a:ext cx="5652135" cy="1670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22258" w:rsidRDefault="00E22258" w:rsidP="008B73AA">
      <w:pPr>
        <w:spacing w:line="542" w:lineRule="exact"/>
      </w:pPr>
    </w:p>
    <w:p w:rsidR="001F2847" w:rsidRPr="00B3440F" w:rsidRDefault="001F2847" w:rsidP="008B73AA">
      <w:pPr>
        <w:spacing w:line="542" w:lineRule="exact"/>
      </w:pPr>
    </w:p>
    <w:p w:rsidR="008B73AA" w:rsidRDefault="008B73AA" w:rsidP="008B73AA">
      <w:pPr>
        <w:spacing w:line="542" w:lineRule="exact"/>
        <w:jc w:val="center"/>
        <w:rPr>
          <w:rFonts w:ascii="方正小标宋_GBK" w:eastAsia="方正小标宋_GBK" w:hAnsi="宋体" w:hint="eastAsia"/>
          <w:sz w:val="44"/>
          <w:szCs w:val="44"/>
        </w:rPr>
      </w:pPr>
      <w:r w:rsidRPr="008B73AA">
        <w:rPr>
          <w:rFonts w:ascii="方正小标宋_GBK" w:eastAsia="方正小标宋_GBK" w:hAnsi="宋体" w:hint="eastAsia"/>
          <w:sz w:val="44"/>
          <w:szCs w:val="44"/>
        </w:rPr>
        <w:t>市政府印发关于实施“成林计划”构建科技</w:t>
      </w:r>
    </w:p>
    <w:p w:rsidR="008B73AA" w:rsidRPr="008B73AA" w:rsidRDefault="008B73AA" w:rsidP="008B73AA">
      <w:pPr>
        <w:spacing w:line="542" w:lineRule="exact"/>
        <w:jc w:val="center"/>
        <w:rPr>
          <w:rFonts w:ascii="方正小标宋_GBK" w:eastAsia="方正小标宋_GBK" w:hAnsi="宋体" w:hint="eastAsia"/>
          <w:sz w:val="44"/>
          <w:szCs w:val="44"/>
        </w:rPr>
      </w:pPr>
      <w:r w:rsidRPr="008B73AA">
        <w:rPr>
          <w:rFonts w:ascii="方正小标宋_GBK" w:eastAsia="方正小标宋_GBK" w:hAnsi="宋体" w:hint="eastAsia"/>
          <w:sz w:val="44"/>
          <w:szCs w:val="44"/>
        </w:rPr>
        <w:t>企业全生命周期扶持体系的若干措施的通知</w:t>
      </w:r>
    </w:p>
    <w:p w:rsidR="008B73AA" w:rsidRPr="008B73AA" w:rsidRDefault="008B73AA" w:rsidP="008B73AA">
      <w:pPr>
        <w:spacing w:line="542" w:lineRule="exact"/>
        <w:rPr>
          <w:rFonts w:ascii="仿宋_GB2312" w:hAnsi="仿宋"/>
        </w:rPr>
      </w:pPr>
      <w:r w:rsidRPr="008B73AA">
        <w:rPr>
          <w:rFonts w:ascii="仿宋_GB2312" w:hAnsi="仿宋"/>
        </w:rPr>
        <w:t xml:space="preserve"> </w:t>
      </w:r>
    </w:p>
    <w:p w:rsidR="008B73AA" w:rsidRPr="008B73AA" w:rsidRDefault="008B73AA" w:rsidP="008B73AA">
      <w:pPr>
        <w:spacing w:line="542" w:lineRule="exact"/>
        <w:rPr>
          <w:rFonts w:ascii="仿宋_GB2312" w:hAnsi="仿宋" w:hint="eastAsia"/>
        </w:rPr>
      </w:pPr>
      <w:r w:rsidRPr="008B73AA">
        <w:rPr>
          <w:rFonts w:ascii="仿宋_GB2312" w:hAnsi="仿宋" w:hint="eastAsia"/>
        </w:rPr>
        <w:t>各县级市（区）人民政府，苏州工业园区、苏州高新区</w:t>
      </w:r>
      <w:r w:rsidR="003E2197">
        <w:rPr>
          <w:rFonts w:ascii="仿宋_GB2312" w:hAnsi="仿宋" w:hint="eastAsia"/>
        </w:rPr>
        <w:t>、太仓港口</w:t>
      </w:r>
      <w:r w:rsidRPr="008B73AA">
        <w:rPr>
          <w:rFonts w:ascii="仿宋_GB2312" w:hAnsi="仿宋" w:hint="eastAsia"/>
        </w:rPr>
        <w:t>管委会；市各委办局，各直属单位：</w:t>
      </w:r>
      <w:bookmarkStart w:id="0" w:name="_GoBack"/>
      <w:bookmarkEnd w:id="0"/>
    </w:p>
    <w:p w:rsidR="006D1B9A" w:rsidRPr="00B3440F" w:rsidRDefault="008B73AA" w:rsidP="008B73AA">
      <w:pPr>
        <w:spacing w:line="542" w:lineRule="exact"/>
        <w:ind w:firstLineChars="200" w:firstLine="632"/>
      </w:pPr>
      <w:r w:rsidRPr="008B73AA">
        <w:rPr>
          <w:rFonts w:ascii="仿宋_GB2312" w:hAnsi="仿宋" w:hint="eastAsia"/>
        </w:rPr>
        <w:t>《关于实施“成林计划”构建科技企业全生命周期扶持体系的若干措施》已经市政府第99次常务会议审议通过，现印发给你们，请结合实际，认真贯彻落实。</w:t>
      </w:r>
    </w:p>
    <w:p w:rsidR="006D1B9A" w:rsidRDefault="006D1B9A" w:rsidP="008B73AA">
      <w:pPr>
        <w:spacing w:line="542" w:lineRule="exact"/>
      </w:pPr>
    </w:p>
    <w:p w:rsidR="006D1B9A" w:rsidRPr="00B3440F" w:rsidRDefault="00B3440F" w:rsidP="008B73AA">
      <w:pPr>
        <w:spacing w:line="542" w:lineRule="exact"/>
        <w:ind w:firstLineChars="1620" w:firstLine="5117"/>
        <w:rPr>
          <w:rFonts w:ascii="仿宋_GB2312"/>
        </w:rPr>
      </w:pPr>
      <w:r w:rsidRPr="00B3440F">
        <w:rPr>
          <w:rFonts w:ascii="仿宋_GB2312" w:hint="eastAsia"/>
        </w:rPr>
        <w:t>苏州市人民政府</w:t>
      </w:r>
    </w:p>
    <w:p w:rsidR="006D1B9A" w:rsidRPr="00B3440F" w:rsidRDefault="00B3440F" w:rsidP="008B73AA">
      <w:pPr>
        <w:spacing w:line="542" w:lineRule="exact"/>
        <w:ind w:rightChars="400" w:right="1263"/>
        <w:jc w:val="right"/>
        <w:rPr>
          <w:rFonts w:ascii="仿宋_GB2312"/>
        </w:rPr>
      </w:pPr>
      <w:r w:rsidRPr="00B3440F">
        <w:rPr>
          <w:rFonts w:ascii="仿宋_GB2312" w:hint="eastAsia"/>
        </w:rPr>
        <w:t>20</w:t>
      </w:r>
      <w:r w:rsidR="004B60EE">
        <w:rPr>
          <w:rFonts w:ascii="仿宋_GB2312" w:hint="eastAsia"/>
        </w:rPr>
        <w:t>2</w:t>
      </w:r>
      <w:r w:rsidR="00C113ED">
        <w:rPr>
          <w:rFonts w:ascii="仿宋_GB2312" w:hint="eastAsia"/>
        </w:rPr>
        <w:t>5</w:t>
      </w:r>
      <w:r w:rsidRPr="00B3440F">
        <w:rPr>
          <w:rFonts w:ascii="仿宋_GB2312" w:hint="eastAsia"/>
        </w:rPr>
        <w:t>年</w:t>
      </w:r>
      <w:r w:rsidR="008B73AA">
        <w:rPr>
          <w:rFonts w:ascii="仿宋_GB2312" w:hint="eastAsia"/>
        </w:rPr>
        <w:t>12</w:t>
      </w:r>
      <w:r w:rsidRPr="00B3440F">
        <w:rPr>
          <w:rFonts w:ascii="仿宋_GB2312" w:hint="eastAsia"/>
        </w:rPr>
        <w:t>月</w:t>
      </w:r>
      <w:r w:rsidR="008B73AA">
        <w:rPr>
          <w:rFonts w:ascii="仿宋_GB2312" w:hint="eastAsia"/>
        </w:rPr>
        <w:t>30</w:t>
      </w:r>
      <w:r w:rsidRPr="00B3440F">
        <w:rPr>
          <w:rFonts w:ascii="仿宋_GB2312" w:hint="eastAsia"/>
        </w:rPr>
        <w:t>日</w:t>
      </w:r>
    </w:p>
    <w:p w:rsidR="00B3440F" w:rsidRDefault="006A4982" w:rsidP="008B73AA">
      <w:pPr>
        <w:spacing w:line="542" w:lineRule="exact"/>
        <w:ind w:firstLineChars="200" w:firstLine="632"/>
      </w:pPr>
      <w:r>
        <w:rPr>
          <w:rFonts w:hint="eastAsia"/>
        </w:rPr>
        <w:t>（此件公开发布）</w:t>
      </w:r>
    </w:p>
    <w:p w:rsidR="008B73AA" w:rsidRPr="008B73AA" w:rsidRDefault="008B73AA" w:rsidP="008B73AA">
      <w:pPr>
        <w:spacing w:line="582" w:lineRule="exact"/>
        <w:jc w:val="center"/>
        <w:rPr>
          <w:rFonts w:ascii="方正小标宋_GBK" w:eastAsia="方正小标宋_GBK" w:hAnsi="宋体" w:hint="eastAsia"/>
          <w:sz w:val="44"/>
          <w:szCs w:val="44"/>
        </w:rPr>
      </w:pPr>
      <w:r w:rsidRPr="008B73AA">
        <w:rPr>
          <w:rFonts w:ascii="方正小标宋_GBK" w:eastAsia="方正小标宋_GBK" w:hAnsi="宋体" w:hint="eastAsia"/>
          <w:sz w:val="44"/>
          <w:szCs w:val="44"/>
        </w:rPr>
        <w:lastRenderedPageBreak/>
        <w:t>关于实施“成林计划”构建科技企业</w:t>
      </w:r>
    </w:p>
    <w:p w:rsidR="008B73AA" w:rsidRPr="008B73AA" w:rsidRDefault="008B73AA" w:rsidP="008B73AA">
      <w:pPr>
        <w:spacing w:line="582" w:lineRule="exact"/>
        <w:jc w:val="center"/>
        <w:rPr>
          <w:rFonts w:ascii="方正小标宋_GBK" w:eastAsia="方正小标宋_GBK" w:hAnsi="宋体" w:hint="eastAsia"/>
          <w:sz w:val="44"/>
          <w:szCs w:val="44"/>
        </w:rPr>
      </w:pPr>
      <w:r w:rsidRPr="008B73AA">
        <w:rPr>
          <w:rFonts w:ascii="方正小标宋_GBK" w:eastAsia="方正小标宋_GBK" w:hAnsi="宋体" w:hint="eastAsia"/>
          <w:sz w:val="44"/>
          <w:szCs w:val="44"/>
        </w:rPr>
        <w:t>全生命周期扶持体系的若干措施</w:t>
      </w:r>
    </w:p>
    <w:p w:rsidR="008B73AA" w:rsidRDefault="008B73AA" w:rsidP="008B73AA">
      <w:pPr>
        <w:ind w:firstLineChars="200" w:firstLine="632"/>
      </w:pPr>
    </w:p>
    <w:p w:rsidR="008B73AA" w:rsidRPr="008B73AA" w:rsidRDefault="008B73AA" w:rsidP="008B73AA">
      <w:pPr>
        <w:ind w:firstLineChars="200" w:firstLine="632"/>
        <w:rPr>
          <w:rFonts w:ascii="仿宋_GB2312" w:hint="eastAsia"/>
        </w:rPr>
      </w:pPr>
      <w:r w:rsidRPr="008B73AA">
        <w:rPr>
          <w:rFonts w:ascii="仿宋_GB2312" w:hint="eastAsia"/>
        </w:rPr>
        <w:t>为了进一步强化企业创新主体地位，构建覆盖科技企业全生命周期全链式扶持体系，推动形成中小科技企业铺天盖地、科技领军企业顶天立地、各类企业万马奔腾的发展格局，制定本措施。</w:t>
      </w:r>
    </w:p>
    <w:p w:rsidR="008B73AA" w:rsidRPr="008B73AA" w:rsidRDefault="008B73AA" w:rsidP="008B73AA">
      <w:pPr>
        <w:ind w:firstLineChars="200" w:firstLine="632"/>
        <w:rPr>
          <w:rFonts w:ascii="黑体" w:eastAsia="黑体" w:hAnsi="黑体" w:hint="eastAsia"/>
        </w:rPr>
      </w:pPr>
      <w:r w:rsidRPr="008B73AA">
        <w:rPr>
          <w:rFonts w:ascii="黑体" w:eastAsia="黑体" w:hAnsi="黑体" w:hint="eastAsia"/>
        </w:rPr>
        <w:t>一、总体要求</w:t>
      </w:r>
    </w:p>
    <w:p w:rsidR="008B73AA" w:rsidRPr="008B73AA" w:rsidRDefault="008B73AA" w:rsidP="008B73AA">
      <w:pPr>
        <w:ind w:firstLineChars="200" w:firstLine="632"/>
        <w:rPr>
          <w:rFonts w:ascii="仿宋_GB2312" w:hint="eastAsia"/>
        </w:rPr>
      </w:pPr>
      <w:r w:rsidRPr="008B73AA">
        <w:rPr>
          <w:rFonts w:ascii="仿宋_GB2312" w:hint="eastAsia"/>
        </w:rPr>
        <w:t>推动科技创新和产业创新深度融合，发挥企业科技创新主体作用，壮大提升科技企业规模和</w:t>
      </w:r>
      <w:proofErr w:type="gramStart"/>
      <w:r w:rsidRPr="008B73AA">
        <w:rPr>
          <w:rFonts w:ascii="仿宋_GB2312" w:hint="eastAsia"/>
        </w:rPr>
        <w:t>质态</w:t>
      </w:r>
      <w:proofErr w:type="gramEnd"/>
      <w:r w:rsidRPr="008B73AA">
        <w:rPr>
          <w:rFonts w:ascii="仿宋_GB2312" w:hint="eastAsia"/>
        </w:rPr>
        <w:t>，加快打造具有全球影响力的产业科技创新中心主承载区。到2028年，新增</w:t>
      </w:r>
      <w:proofErr w:type="gramStart"/>
      <w:r w:rsidRPr="008B73AA">
        <w:rPr>
          <w:rFonts w:ascii="仿宋_GB2312" w:hint="eastAsia"/>
        </w:rPr>
        <w:t>3万个科创项目</w:t>
      </w:r>
      <w:proofErr w:type="gramEnd"/>
      <w:r w:rsidRPr="008B73AA">
        <w:rPr>
          <w:rFonts w:ascii="仿宋_GB2312" w:hint="eastAsia"/>
        </w:rPr>
        <w:t>，拥有科技型企业超10万家；获</w:t>
      </w:r>
      <w:proofErr w:type="gramStart"/>
      <w:r w:rsidRPr="008B73AA">
        <w:rPr>
          <w:rFonts w:ascii="仿宋_GB2312" w:hint="eastAsia"/>
        </w:rPr>
        <w:t>评国家</w:t>
      </w:r>
      <w:proofErr w:type="gramEnd"/>
      <w:r w:rsidRPr="008B73AA">
        <w:rPr>
          <w:rFonts w:ascii="仿宋_GB2312" w:hint="eastAsia"/>
        </w:rPr>
        <w:t>科技型中小企业3万家、国家高新技术企业2.2万家、国家专精特新“小巨人”企业1200家；入库“瞪羚”企业4000家、“独角兽培育”企业800家、科技领军培育企业150家；</w:t>
      </w:r>
      <w:proofErr w:type="gramStart"/>
      <w:r w:rsidRPr="008B73AA">
        <w:rPr>
          <w:rFonts w:ascii="仿宋_GB2312" w:hint="eastAsia"/>
        </w:rPr>
        <w:t>科创板</w:t>
      </w:r>
      <w:proofErr w:type="gramEnd"/>
      <w:r w:rsidRPr="008B73AA">
        <w:rPr>
          <w:rFonts w:ascii="仿宋_GB2312" w:hint="eastAsia"/>
        </w:rPr>
        <w:t>上市企业70家。聚焦科技企业全生命周期扶持服务，进一步夯实“科技型中小企业-高新技术企业-瞪</w:t>
      </w:r>
      <w:proofErr w:type="gramStart"/>
      <w:r w:rsidRPr="008B73AA">
        <w:rPr>
          <w:rFonts w:ascii="仿宋_GB2312" w:hint="eastAsia"/>
        </w:rPr>
        <w:t>羚</w:t>
      </w:r>
      <w:proofErr w:type="gramEnd"/>
      <w:r w:rsidRPr="008B73AA">
        <w:rPr>
          <w:rFonts w:ascii="仿宋_GB2312" w:hint="eastAsia"/>
        </w:rPr>
        <w:t>企业/专精特新企业/独角兽企业-科技领军企业”的“金字塔”形企业梯度培育体系。</w:t>
      </w:r>
    </w:p>
    <w:p w:rsidR="008B73AA" w:rsidRPr="008B73AA" w:rsidRDefault="008B73AA" w:rsidP="008B73AA">
      <w:pPr>
        <w:ind w:firstLineChars="200" w:firstLine="632"/>
        <w:rPr>
          <w:rFonts w:ascii="黑体" w:eastAsia="黑体" w:hAnsi="黑体" w:hint="eastAsia"/>
        </w:rPr>
      </w:pPr>
      <w:r w:rsidRPr="008B73AA">
        <w:rPr>
          <w:rFonts w:ascii="黑体" w:eastAsia="黑体" w:hAnsi="黑体" w:hint="eastAsia"/>
        </w:rPr>
        <w:t>二、扶持措施</w:t>
      </w:r>
    </w:p>
    <w:p w:rsidR="008B73AA" w:rsidRPr="008B73AA" w:rsidRDefault="008B73AA" w:rsidP="008B73AA">
      <w:pPr>
        <w:ind w:firstLineChars="200" w:firstLine="632"/>
        <w:rPr>
          <w:rFonts w:ascii="楷体_GB2312" w:eastAsia="楷体_GB2312" w:hAnsi="黑体" w:hint="eastAsia"/>
        </w:rPr>
      </w:pPr>
      <w:r w:rsidRPr="008B73AA">
        <w:rPr>
          <w:rFonts w:ascii="楷体_GB2312" w:eastAsia="楷体_GB2312" w:hAnsi="黑体" w:hint="eastAsia"/>
        </w:rPr>
        <w:t>（一）实施“选种育苗”行动，助力创新种子“破土而出”</w:t>
      </w:r>
      <w:r>
        <w:rPr>
          <w:rFonts w:ascii="楷体_GB2312" w:eastAsia="楷体_GB2312" w:hAnsi="黑体" w:hint="eastAsia"/>
        </w:rPr>
        <w:t>。</w:t>
      </w:r>
    </w:p>
    <w:p w:rsidR="008B73AA" w:rsidRPr="008B73AA" w:rsidRDefault="008B73AA" w:rsidP="008B73AA">
      <w:pPr>
        <w:ind w:firstLineChars="200" w:firstLine="632"/>
        <w:rPr>
          <w:rFonts w:ascii="仿宋_GB2312" w:hint="eastAsia"/>
        </w:rPr>
      </w:pPr>
      <w:r w:rsidRPr="008B73AA">
        <w:rPr>
          <w:rFonts w:ascii="仿宋_GB2312" w:hint="eastAsia"/>
        </w:rPr>
        <w:t>1</w:t>
      </w:r>
      <w:r>
        <w:rPr>
          <w:rFonts w:ascii="仿宋_GB2312" w:hint="eastAsia"/>
        </w:rPr>
        <w:t>．</w:t>
      </w:r>
      <w:r w:rsidRPr="008B73AA">
        <w:rPr>
          <w:rFonts w:ascii="仿宋_GB2312" w:hint="eastAsia"/>
        </w:rPr>
        <w:t>构建项目发现网络。完善科技人才和项目引进体系，布局建设海外离岸创新中心、城市协同创新中心，分别给予最高500万元、最高100万元建设支持，根据年度服务成效给予最高500</w:t>
      </w:r>
      <w:r w:rsidRPr="008B73AA">
        <w:rPr>
          <w:rFonts w:ascii="仿宋_GB2312" w:hint="eastAsia"/>
        </w:rPr>
        <w:lastRenderedPageBreak/>
        <w:t>万元支持。布局建设苏州高校成果转化办公室（SOTT），推进高校科技成果就近孵化、在苏转化，每年给予最高100万元支持。与驻外科技参赞、留学生联谊会等建立合作关系，实施</w:t>
      </w:r>
      <w:proofErr w:type="gramStart"/>
      <w:r w:rsidRPr="008B73AA">
        <w:rPr>
          <w:rFonts w:ascii="仿宋_GB2312" w:hint="eastAsia"/>
        </w:rPr>
        <w:t>全球科创伙伴</w:t>
      </w:r>
      <w:proofErr w:type="gramEnd"/>
      <w:r w:rsidRPr="008B73AA">
        <w:rPr>
          <w:rFonts w:ascii="仿宋_GB2312" w:hint="eastAsia"/>
        </w:rPr>
        <w:t>计划，对纳入计划的给予最高300万元支持。（责任单位：市科技局，各县级市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仿宋_GB2312" w:hint="eastAsia"/>
        </w:rPr>
      </w:pPr>
      <w:r w:rsidRPr="008B73AA">
        <w:rPr>
          <w:rFonts w:ascii="仿宋_GB2312" w:hint="eastAsia"/>
        </w:rPr>
        <w:t>2</w:t>
      </w:r>
      <w:r>
        <w:rPr>
          <w:rFonts w:ascii="仿宋_GB2312" w:hint="eastAsia"/>
        </w:rPr>
        <w:t>．</w:t>
      </w:r>
      <w:r w:rsidRPr="008B73AA">
        <w:rPr>
          <w:rFonts w:ascii="仿宋_GB2312" w:hint="eastAsia"/>
        </w:rPr>
        <w:t>强化创业人才引进。实施苏州创新创业领军人才计划，给予个人最高500万元、团队最高3000万元支持。对参加“赢在苏州”全球创新创业大赛的获奖项目，给予最高3000万元支持，对总决赛一等奖项目给予苏州创新创业领军人才计划直接立项支持。建设“单人公司（OPC）创业首选城市”，加快吸引集聚海内外OPC人才。落实青年科学家发布制度，给予50万元支持并直接认定为苏州创新创业领军人才。打造专业化青年创业园，提供空间保障、政策咨询、项目路演等一站式服务。（责任单位：市委人才办、市科技局）</w:t>
      </w:r>
    </w:p>
    <w:p w:rsidR="008B73AA" w:rsidRPr="008B73AA" w:rsidRDefault="008B73AA" w:rsidP="008B73AA">
      <w:pPr>
        <w:ind w:firstLineChars="200" w:firstLine="632"/>
        <w:rPr>
          <w:rFonts w:ascii="仿宋_GB2312" w:hint="eastAsia"/>
        </w:rPr>
      </w:pPr>
      <w:r w:rsidRPr="008B73AA">
        <w:rPr>
          <w:rFonts w:ascii="仿宋_GB2312" w:hint="eastAsia"/>
        </w:rPr>
        <w:t>3</w:t>
      </w:r>
      <w:r>
        <w:rPr>
          <w:rFonts w:ascii="仿宋_GB2312" w:hint="eastAsia"/>
        </w:rPr>
        <w:t>．</w:t>
      </w:r>
      <w:r w:rsidRPr="008B73AA">
        <w:rPr>
          <w:rFonts w:ascii="仿宋_GB2312" w:hint="eastAsia"/>
        </w:rPr>
        <w:t>加速成果转移转化。加快推进全国高校区域技术转移转化中心建设，鼓励和引导高校院所按照先使用后付费方式把科技成果许可给中小</w:t>
      </w:r>
      <w:proofErr w:type="gramStart"/>
      <w:r w:rsidRPr="008B73AA">
        <w:rPr>
          <w:rFonts w:ascii="仿宋_GB2312" w:hint="eastAsia"/>
        </w:rPr>
        <w:t>微企业</w:t>
      </w:r>
      <w:proofErr w:type="gramEnd"/>
      <w:r w:rsidRPr="008B73AA">
        <w:rPr>
          <w:rFonts w:ascii="仿宋_GB2312" w:hint="eastAsia"/>
        </w:rPr>
        <w:t>使用。支持企业与高校联合开展核心技术攻关，每年按技术开发合同实际成交额给予最高10%补助。支持开展技术转移、技术经理人队伍建设。（责任单位：市科技局、市教育局）</w:t>
      </w:r>
    </w:p>
    <w:p w:rsidR="008B73AA" w:rsidRPr="008B73AA" w:rsidRDefault="008B73AA" w:rsidP="008B73AA">
      <w:pPr>
        <w:ind w:firstLineChars="200" w:firstLine="632"/>
        <w:rPr>
          <w:rFonts w:ascii="仿宋_GB2312" w:hint="eastAsia"/>
        </w:rPr>
      </w:pPr>
      <w:r w:rsidRPr="008B73AA">
        <w:rPr>
          <w:rFonts w:ascii="仿宋_GB2312" w:hint="eastAsia"/>
        </w:rPr>
        <w:t>4</w:t>
      </w:r>
      <w:r>
        <w:rPr>
          <w:rFonts w:ascii="仿宋_GB2312" w:hint="eastAsia"/>
        </w:rPr>
        <w:t>．</w:t>
      </w:r>
      <w:r w:rsidRPr="008B73AA">
        <w:rPr>
          <w:rFonts w:ascii="仿宋_GB2312" w:hint="eastAsia"/>
        </w:rPr>
        <w:t>引导加大天使投资。鼓励苏州高校科技成果转化天使基金、苏州未来产业天使基金，聚焦未来网络通信、第三代半导体、</w:t>
      </w:r>
      <w:r w:rsidRPr="008B73AA">
        <w:rPr>
          <w:rFonts w:ascii="仿宋_GB2312" w:hint="eastAsia"/>
        </w:rPr>
        <w:lastRenderedPageBreak/>
        <w:t>量子科技等前沿领域，投向初创期种子项目，能投则投、应</w:t>
      </w:r>
      <w:proofErr w:type="gramStart"/>
      <w:r w:rsidRPr="008B73AA">
        <w:rPr>
          <w:rFonts w:ascii="仿宋_GB2312" w:hint="eastAsia"/>
        </w:rPr>
        <w:t>投尽投</w:t>
      </w:r>
      <w:proofErr w:type="gramEnd"/>
      <w:r w:rsidRPr="008B73AA">
        <w:rPr>
          <w:rFonts w:ascii="仿宋_GB2312" w:hint="eastAsia"/>
        </w:rPr>
        <w:t>。落实国有投资机构尽职免责机制，引导国有投资投早、投小、投长期、</w:t>
      </w:r>
      <w:proofErr w:type="gramStart"/>
      <w:r w:rsidRPr="008B73AA">
        <w:rPr>
          <w:rFonts w:ascii="仿宋_GB2312" w:hint="eastAsia"/>
        </w:rPr>
        <w:t>投硬科技</w:t>
      </w:r>
      <w:proofErr w:type="gramEnd"/>
      <w:r w:rsidRPr="008B73AA">
        <w:rPr>
          <w:rFonts w:ascii="仿宋_GB2312" w:hint="eastAsia"/>
        </w:rPr>
        <w:t>。（责任单位：市委金融办、</w:t>
      </w:r>
      <w:proofErr w:type="gramStart"/>
      <w:r w:rsidRPr="008B73AA">
        <w:rPr>
          <w:rFonts w:ascii="仿宋_GB2312" w:hint="eastAsia"/>
        </w:rPr>
        <w:t>市发改委</w:t>
      </w:r>
      <w:proofErr w:type="gramEnd"/>
      <w:r w:rsidRPr="008B73AA">
        <w:rPr>
          <w:rFonts w:ascii="仿宋_GB2312" w:hint="eastAsia"/>
        </w:rPr>
        <w:t>、市财政局、市国资委、市科技局）</w:t>
      </w:r>
    </w:p>
    <w:p w:rsidR="008B73AA" w:rsidRPr="008B73AA" w:rsidRDefault="008B73AA" w:rsidP="008B73AA">
      <w:pPr>
        <w:ind w:firstLineChars="200" w:firstLine="632"/>
        <w:rPr>
          <w:rFonts w:ascii="仿宋_GB2312" w:hint="eastAsia"/>
        </w:rPr>
      </w:pPr>
      <w:r w:rsidRPr="008B73AA">
        <w:rPr>
          <w:rFonts w:ascii="仿宋_GB2312" w:hint="eastAsia"/>
        </w:rPr>
        <w:t>5</w:t>
      </w:r>
      <w:r>
        <w:rPr>
          <w:rFonts w:ascii="仿宋_GB2312" w:hint="eastAsia"/>
        </w:rPr>
        <w:t>．</w:t>
      </w:r>
      <w:r w:rsidRPr="008B73AA">
        <w:rPr>
          <w:rFonts w:ascii="仿宋_GB2312" w:hint="eastAsia"/>
        </w:rPr>
        <w:t>强化孵化载体建设。建好“孵化器</w:t>
      </w:r>
      <w:r>
        <w:rPr>
          <w:rFonts w:ascii="仿宋_GB2312" w:hint="eastAsia"/>
        </w:rPr>
        <w:t>—</w:t>
      </w:r>
      <w:r w:rsidRPr="008B73AA">
        <w:rPr>
          <w:rFonts w:ascii="仿宋_GB2312" w:hint="eastAsia"/>
        </w:rPr>
        <w:t>加速器</w:t>
      </w:r>
      <w:r>
        <w:rPr>
          <w:rFonts w:ascii="仿宋_GB2312" w:hint="eastAsia"/>
        </w:rPr>
        <w:t>—</w:t>
      </w:r>
      <w:r w:rsidRPr="008B73AA">
        <w:rPr>
          <w:rFonts w:ascii="仿宋_GB2312" w:hint="eastAsia"/>
        </w:rPr>
        <w:t>未来产业科技园”，对新获评的省级以上科技孵化器（</w:t>
      </w:r>
      <w:proofErr w:type="gramStart"/>
      <w:r w:rsidRPr="008B73AA">
        <w:rPr>
          <w:rFonts w:ascii="仿宋_GB2312" w:hint="eastAsia"/>
        </w:rPr>
        <w:t>含大学</w:t>
      </w:r>
      <w:proofErr w:type="gramEnd"/>
      <w:r w:rsidRPr="008B73AA">
        <w:rPr>
          <w:rFonts w:ascii="仿宋_GB2312" w:hint="eastAsia"/>
        </w:rPr>
        <w:t>科技园），给予最高100万元支持。对新获评的国家级、省级未来产业科技园，分别给予最高600万元、最高300万元支持。支持各市、区国有孵化器统筹不少于20万平方米的创业空间，为初创企业提供空间保障，打造“零成本创业”标杆示范。（责任单位：市科技局、市国资委，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楷体_GB2312" w:eastAsia="楷体_GB2312" w:hAnsi="黑体" w:hint="eastAsia"/>
        </w:rPr>
      </w:pPr>
      <w:r w:rsidRPr="008B73AA">
        <w:rPr>
          <w:rFonts w:ascii="楷体_GB2312" w:eastAsia="楷体_GB2312" w:hAnsi="黑体" w:hint="eastAsia"/>
        </w:rPr>
        <w:t>（二）实施“培土润苗”行动，助力成长企业“拔节生长”</w:t>
      </w:r>
      <w:r>
        <w:rPr>
          <w:rFonts w:ascii="楷体_GB2312" w:eastAsia="楷体_GB2312" w:hAnsi="黑体" w:hint="eastAsia"/>
        </w:rPr>
        <w:t>。</w:t>
      </w:r>
    </w:p>
    <w:p w:rsidR="008B73AA" w:rsidRPr="008B73AA" w:rsidRDefault="008B73AA" w:rsidP="008B73AA">
      <w:pPr>
        <w:ind w:firstLineChars="200" w:firstLine="632"/>
        <w:rPr>
          <w:rFonts w:ascii="仿宋_GB2312" w:hint="eastAsia"/>
        </w:rPr>
      </w:pPr>
      <w:r w:rsidRPr="008B73AA">
        <w:rPr>
          <w:rFonts w:ascii="仿宋_GB2312" w:hint="eastAsia"/>
        </w:rPr>
        <w:t>6</w:t>
      </w:r>
      <w:r>
        <w:rPr>
          <w:rFonts w:ascii="仿宋_GB2312" w:hint="eastAsia"/>
        </w:rPr>
        <w:t>．</w:t>
      </w:r>
      <w:r w:rsidRPr="008B73AA">
        <w:rPr>
          <w:rFonts w:ascii="仿宋_GB2312" w:hint="eastAsia"/>
        </w:rPr>
        <w:t>优化科技企业评价体系。升级迭代“科创指数”评价模型，对企业进行精准画像，建立分层分类企业梯度培育体系，提供针对性服务。将“科创指数”引入科技创新惠企补助政策，整合形成“科创指数惠”政策包，给予每家企业最高3000万元支持，实现惠</w:t>
      </w:r>
      <w:proofErr w:type="gramStart"/>
      <w:r w:rsidRPr="008B73AA">
        <w:rPr>
          <w:rFonts w:ascii="仿宋_GB2312" w:hint="eastAsia"/>
        </w:rPr>
        <w:t>企资金</w:t>
      </w:r>
      <w:proofErr w:type="gramEnd"/>
      <w:r w:rsidRPr="008B73AA">
        <w:rPr>
          <w:rFonts w:ascii="仿宋_GB2312" w:hint="eastAsia"/>
        </w:rPr>
        <w:t>集中兑付、</w:t>
      </w:r>
      <w:proofErr w:type="gramStart"/>
      <w:r w:rsidRPr="008B73AA">
        <w:rPr>
          <w:rFonts w:ascii="仿宋_GB2312" w:hint="eastAsia"/>
        </w:rPr>
        <w:t>免申即</w:t>
      </w:r>
      <w:proofErr w:type="gramEnd"/>
      <w:r w:rsidRPr="008B73AA">
        <w:rPr>
          <w:rFonts w:ascii="仿宋_GB2312" w:hint="eastAsia"/>
        </w:rPr>
        <w:t>享、直达快享。（责任单位：市科技局）</w:t>
      </w:r>
    </w:p>
    <w:p w:rsidR="008B73AA" w:rsidRPr="008B73AA" w:rsidRDefault="008B73AA" w:rsidP="008B73AA">
      <w:pPr>
        <w:ind w:firstLineChars="200" w:firstLine="632"/>
        <w:rPr>
          <w:rFonts w:ascii="仿宋_GB2312" w:hint="eastAsia"/>
        </w:rPr>
      </w:pPr>
      <w:r w:rsidRPr="008B73AA">
        <w:rPr>
          <w:rFonts w:ascii="仿宋_GB2312" w:hint="eastAsia"/>
        </w:rPr>
        <w:t>7</w:t>
      </w:r>
      <w:r>
        <w:rPr>
          <w:rFonts w:ascii="仿宋_GB2312" w:hint="eastAsia"/>
        </w:rPr>
        <w:t>．</w:t>
      </w:r>
      <w:r w:rsidRPr="008B73AA">
        <w:rPr>
          <w:rFonts w:ascii="仿宋_GB2312" w:hint="eastAsia"/>
        </w:rPr>
        <w:t>引导企业加大研发投入。对新获批的高新技术企业、专精特新“小巨人”企业，给予最高100万元支持。对苏州市独角兽培育企业给予每年最高200万元、累计最高1000万元支持。全面落实研发费用加计扣除政策，根据企业研发投入给予最高200</w:t>
      </w:r>
      <w:r w:rsidRPr="008B73AA">
        <w:rPr>
          <w:rFonts w:ascii="仿宋_GB2312" w:hint="eastAsia"/>
        </w:rPr>
        <w:lastRenderedPageBreak/>
        <w:t>万元支持。加速“AI+”赋能实体经济，支持企业</w:t>
      </w:r>
      <w:proofErr w:type="gramStart"/>
      <w:r w:rsidRPr="008B73AA">
        <w:rPr>
          <w:rFonts w:ascii="仿宋_GB2312" w:hint="eastAsia"/>
        </w:rPr>
        <w:t>购买算力服务</w:t>
      </w:r>
      <w:proofErr w:type="gramEnd"/>
      <w:r w:rsidRPr="008B73AA">
        <w:rPr>
          <w:rFonts w:ascii="仿宋_GB2312" w:hint="eastAsia"/>
        </w:rPr>
        <w:t>，给予最高200万元支持。（责任单位：市科技局、市工信局）</w:t>
      </w:r>
    </w:p>
    <w:p w:rsidR="008B73AA" w:rsidRPr="008B73AA" w:rsidRDefault="008B73AA" w:rsidP="008B73AA">
      <w:pPr>
        <w:ind w:firstLineChars="200" w:firstLine="632"/>
        <w:rPr>
          <w:rFonts w:ascii="仿宋_GB2312" w:hint="eastAsia"/>
          <w:spacing w:val="-4"/>
        </w:rPr>
      </w:pPr>
      <w:r w:rsidRPr="008B73AA">
        <w:rPr>
          <w:rFonts w:ascii="仿宋_GB2312" w:hint="eastAsia"/>
        </w:rPr>
        <w:t>8</w:t>
      </w:r>
      <w:r>
        <w:rPr>
          <w:rFonts w:ascii="仿宋_GB2312" w:hint="eastAsia"/>
        </w:rPr>
        <w:t>．</w:t>
      </w:r>
      <w:r w:rsidRPr="008B73AA">
        <w:rPr>
          <w:rFonts w:ascii="仿宋_GB2312" w:hint="eastAsia"/>
        </w:rPr>
        <w:t>加强关键核心技术攻关。构建“产业界出题、科技界答题”机制，面向全球实施“揭榜挂帅”项目，给予发榜企业最高1000万元支持。支持企业开展关键核心技术攻关及重大科技成果转化，给予最高2000万元支持。支持创新药物和高端医疗器械研发，每个项目分类分阶段给予最高3000万元支持。支持开展软科</w:t>
      </w:r>
      <w:r w:rsidRPr="008B73AA">
        <w:rPr>
          <w:rFonts w:ascii="仿宋_GB2312" w:hint="eastAsia"/>
          <w:spacing w:val="-4"/>
        </w:rPr>
        <w:t>学研究，鼓励企业参与科技创新决策咨询。（责任单位：市科技局）</w:t>
      </w:r>
    </w:p>
    <w:p w:rsidR="008B73AA" w:rsidRPr="008B73AA" w:rsidRDefault="008B73AA" w:rsidP="008B73AA">
      <w:pPr>
        <w:ind w:firstLineChars="200" w:firstLine="632"/>
        <w:rPr>
          <w:rFonts w:ascii="仿宋_GB2312" w:hint="eastAsia"/>
        </w:rPr>
      </w:pPr>
      <w:r w:rsidRPr="008B73AA">
        <w:rPr>
          <w:rFonts w:ascii="仿宋_GB2312" w:hint="eastAsia"/>
        </w:rPr>
        <w:t>9</w:t>
      </w:r>
      <w:r>
        <w:rPr>
          <w:rFonts w:ascii="仿宋_GB2312" w:hint="eastAsia"/>
        </w:rPr>
        <w:t>．</w:t>
      </w:r>
      <w:r w:rsidRPr="008B73AA">
        <w:rPr>
          <w:rFonts w:ascii="仿宋_GB2312" w:hint="eastAsia"/>
        </w:rPr>
        <w:t>加快场景资源全域开放。推广人工智能应用场景，对获得国家支持的人工智能场景示范项目，给予最高1000万元支持。遴选一批人工智能应用场景示范项目，择优给予最高200万元支持。支持建设一批苏州市场景开放创新中心，择优给予每家三年总计最高300万元支持。对市级以上认定的首台（套）装备，给予最高100万元奖励，对经省级以上认定的首版次软件，给予30万元奖励。（责任单位：</w:t>
      </w:r>
      <w:proofErr w:type="gramStart"/>
      <w:r w:rsidRPr="008B73AA">
        <w:rPr>
          <w:rFonts w:ascii="仿宋_GB2312" w:hint="eastAsia"/>
        </w:rPr>
        <w:t>市发改委</w:t>
      </w:r>
      <w:proofErr w:type="gramEnd"/>
      <w:r w:rsidRPr="008B73AA">
        <w:rPr>
          <w:rFonts w:ascii="仿宋_GB2312" w:hint="eastAsia"/>
        </w:rPr>
        <w:t>、市工信局）</w:t>
      </w:r>
    </w:p>
    <w:p w:rsidR="008B73AA" w:rsidRPr="008B73AA" w:rsidRDefault="008B73AA" w:rsidP="008B73AA">
      <w:pPr>
        <w:ind w:firstLineChars="200" w:firstLine="632"/>
        <w:rPr>
          <w:rFonts w:ascii="楷体_GB2312" w:eastAsia="楷体_GB2312" w:hAnsi="黑体" w:hint="eastAsia"/>
        </w:rPr>
      </w:pPr>
      <w:r w:rsidRPr="008B73AA">
        <w:rPr>
          <w:rFonts w:ascii="楷体_GB2312" w:eastAsia="楷体_GB2312" w:hAnsi="黑体" w:hint="eastAsia"/>
        </w:rPr>
        <w:t>（三）实施“扎根强枝”行动，助力成熟企业“枝繁叶茂”</w:t>
      </w:r>
      <w:r>
        <w:rPr>
          <w:rFonts w:ascii="楷体_GB2312" w:eastAsia="楷体_GB2312" w:hAnsi="黑体" w:hint="eastAsia"/>
        </w:rPr>
        <w:t>。</w:t>
      </w:r>
    </w:p>
    <w:p w:rsidR="008B73AA" w:rsidRPr="008B73AA" w:rsidRDefault="008B73AA" w:rsidP="008B73AA">
      <w:pPr>
        <w:ind w:firstLineChars="200" w:firstLine="632"/>
        <w:rPr>
          <w:rFonts w:ascii="仿宋_GB2312" w:hint="eastAsia"/>
        </w:rPr>
      </w:pPr>
      <w:r w:rsidRPr="008B73AA">
        <w:rPr>
          <w:rFonts w:ascii="仿宋_GB2312" w:hint="eastAsia"/>
        </w:rPr>
        <w:t>10</w:t>
      </w:r>
      <w:r>
        <w:rPr>
          <w:rFonts w:ascii="仿宋_GB2312" w:hint="eastAsia"/>
        </w:rPr>
        <w:t>．</w:t>
      </w:r>
      <w:r w:rsidRPr="008B73AA">
        <w:rPr>
          <w:rFonts w:ascii="仿宋_GB2312" w:hint="eastAsia"/>
        </w:rPr>
        <w:t>支持建设高水平研发机构。推动研发机构赋能产业、服务企业，支持企业建设牵头类全国、省重点实验室，分别给予最高2亿元、2000万元支持。支持企业牵头建设技术创新中心、制造业创新中心、新兴产业创新中心，对新获批的国家、省级创新中心分别给予最高5000万元、1000万元支持。高水平建设苏州市新型研发机构，给予最高1000万元支持。对新批准建设的院士</w:t>
      </w:r>
      <w:r w:rsidRPr="008B73AA">
        <w:rPr>
          <w:rFonts w:ascii="仿宋_GB2312" w:hint="eastAsia"/>
        </w:rPr>
        <w:lastRenderedPageBreak/>
        <w:t>工作站、创新联合体给予最高200万元支持。（责任单位：市科技局、市工信局）</w:t>
      </w:r>
    </w:p>
    <w:p w:rsidR="008B73AA" w:rsidRPr="008B73AA" w:rsidRDefault="008B73AA" w:rsidP="008B73AA">
      <w:pPr>
        <w:ind w:firstLineChars="200" w:firstLine="632"/>
        <w:rPr>
          <w:rFonts w:ascii="仿宋_GB2312" w:hint="eastAsia"/>
        </w:rPr>
      </w:pPr>
      <w:r w:rsidRPr="008B73AA">
        <w:rPr>
          <w:rFonts w:ascii="仿宋_GB2312" w:hint="eastAsia"/>
        </w:rPr>
        <w:t>11</w:t>
      </w:r>
      <w:r>
        <w:rPr>
          <w:rFonts w:ascii="仿宋_GB2312" w:hint="eastAsia"/>
        </w:rPr>
        <w:t>．</w:t>
      </w:r>
      <w:r w:rsidRPr="008B73AA">
        <w:rPr>
          <w:rFonts w:ascii="仿宋_GB2312" w:hint="eastAsia"/>
        </w:rPr>
        <w:t>支持企业引进领军人才。建立重大创新团队“绿色通道”，支持重点产业领域企业成建制引进高端科技人才。对企业引进的符合条件的高端人才，可直接认定苏州创新创业领军人才。加大对科技领军培育企业等优质企业引才育才的支持力度，对其拟引进的符合条件的海外高端人才可直接认定为苏州创新创业领军人才。（责任单位：市委人才办、市科技局、市工信局）</w:t>
      </w:r>
    </w:p>
    <w:p w:rsidR="008B73AA" w:rsidRPr="008B73AA" w:rsidRDefault="008B73AA" w:rsidP="008B73AA">
      <w:pPr>
        <w:ind w:firstLineChars="200" w:firstLine="632"/>
        <w:rPr>
          <w:rFonts w:ascii="仿宋_GB2312" w:hint="eastAsia"/>
        </w:rPr>
      </w:pPr>
      <w:r w:rsidRPr="008B73AA">
        <w:rPr>
          <w:rFonts w:ascii="仿宋_GB2312" w:hint="eastAsia"/>
        </w:rPr>
        <w:t>12</w:t>
      </w:r>
      <w:r>
        <w:rPr>
          <w:rFonts w:ascii="仿宋_GB2312" w:hint="eastAsia"/>
        </w:rPr>
        <w:t>．</w:t>
      </w:r>
      <w:r w:rsidRPr="008B73AA">
        <w:rPr>
          <w:rFonts w:ascii="仿宋_GB2312" w:hint="eastAsia"/>
        </w:rPr>
        <w:t>建好开放创新合作平台。坚持本土创新和离岸创新“双轮驱动”，支持企业在美国、欧盟等全球智力密集区域建设海外研发中心。推动外资及港澳台企业在苏州设立实体化研发创新中心、内部独立部门，对布局新建企业研究院给予最高1000万元支持。（责任单位：市科技局，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楷体_GB2312" w:eastAsia="楷体_GB2312" w:hAnsi="黑体" w:hint="eastAsia"/>
        </w:rPr>
      </w:pPr>
      <w:r w:rsidRPr="008B73AA">
        <w:rPr>
          <w:rFonts w:ascii="楷体_GB2312" w:eastAsia="楷体_GB2312" w:hAnsi="黑体" w:hint="eastAsia"/>
        </w:rPr>
        <w:t>（四）实施“育林参天”行动，助力领军企业“顶天立地”</w:t>
      </w:r>
    </w:p>
    <w:p w:rsidR="008B73AA" w:rsidRPr="008B73AA" w:rsidRDefault="008B73AA" w:rsidP="008B73AA">
      <w:pPr>
        <w:ind w:firstLineChars="200" w:firstLine="632"/>
        <w:rPr>
          <w:rFonts w:ascii="仿宋_GB2312" w:hint="eastAsia"/>
        </w:rPr>
      </w:pPr>
      <w:r w:rsidRPr="008B73AA">
        <w:rPr>
          <w:rFonts w:ascii="仿宋_GB2312" w:hint="eastAsia"/>
        </w:rPr>
        <w:t>13</w:t>
      </w:r>
      <w:r>
        <w:rPr>
          <w:rFonts w:ascii="仿宋_GB2312" w:hint="eastAsia"/>
        </w:rPr>
        <w:t>．</w:t>
      </w:r>
      <w:r w:rsidRPr="008B73AA">
        <w:rPr>
          <w:rFonts w:ascii="仿宋_GB2312" w:hint="eastAsia"/>
        </w:rPr>
        <w:t>加快科技领军企业培育。强化科技领军企业培育，给予培育企业金融、空间、人才、研发、监管等政策集成支持，对其新建的全球研发中心给予最高1亿元支持。对新建的创新领军企业先进技术研究院给予最高5000万元支持。鼓励科技领军培育企业牵头组建创新联合体，组织实施各级各类科技计划项目。（责任单位：市科技局、市委人才办、市委金融办、</w:t>
      </w:r>
      <w:proofErr w:type="gramStart"/>
      <w:r w:rsidRPr="008B73AA">
        <w:rPr>
          <w:rFonts w:ascii="仿宋_GB2312" w:hint="eastAsia"/>
        </w:rPr>
        <w:t>市发改委</w:t>
      </w:r>
      <w:proofErr w:type="gramEnd"/>
      <w:r w:rsidRPr="008B73AA">
        <w:rPr>
          <w:rFonts w:ascii="仿宋_GB2312" w:hint="eastAsia"/>
        </w:rPr>
        <w:t>、市工信局、市财政局、市资源规划局、市市场监管局，各县级市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仿宋_GB2312" w:hint="eastAsia"/>
        </w:rPr>
      </w:pPr>
      <w:r w:rsidRPr="008B73AA">
        <w:rPr>
          <w:rFonts w:ascii="仿宋_GB2312" w:hint="eastAsia"/>
        </w:rPr>
        <w:t>14</w:t>
      </w:r>
      <w:r>
        <w:rPr>
          <w:rFonts w:ascii="仿宋_GB2312" w:hint="eastAsia"/>
        </w:rPr>
        <w:t>．</w:t>
      </w:r>
      <w:r w:rsidRPr="008B73AA">
        <w:rPr>
          <w:rFonts w:ascii="仿宋_GB2312" w:hint="eastAsia"/>
        </w:rPr>
        <w:t>鼓励承担重大科技项目。支持企业牵头或参与实施国家</w:t>
      </w:r>
      <w:r w:rsidRPr="008B73AA">
        <w:rPr>
          <w:rFonts w:ascii="仿宋_GB2312" w:hint="eastAsia"/>
        </w:rPr>
        <w:lastRenderedPageBreak/>
        <w:t>重大科研任务，对牵头承担国家科技重大专项、国家重点研发计划的给予最高2000万元支持。支持企业加强未来产业重大项目储备，积极争取国家“两重”“两新”、专项债券等政策支持。对获得国家科学技术奖的主持和参与完成单位，按国家奖励资金最高1:2给予奖励。对获得江苏省科学技术奖二等奖及以上的主持完成单位，按省奖励资金最高1:1给予奖励。（责任单位：市科技局、</w:t>
      </w:r>
      <w:proofErr w:type="gramStart"/>
      <w:r w:rsidRPr="008B73AA">
        <w:rPr>
          <w:rFonts w:ascii="仿宋_GB2312" w:hint="eastAsia"/>
        </w:rPr>
        <w:t>市发改委</w:t>
      </w:r>
      <w:proofErr w:type="gramEnd"/>
      <w:r w:rsidRPr="008B73AA">
        <w:rPr>
          <w:rFonts w:ascii="仿宋_GB2312" w:hint="eastAsia"/>
        </w:rPr>
        <w:t>、市工信局）</w:t>
      </w:r>
    </w:p>
    <w:p w:rsidR="008B73AA" w:rsidRPr="008B73AA" w:rsidRDefault="008B73AA" w:rsidP="008B73AA">
      <w:pPr>
        <w:ind w:firstLineChars="200" w:firstLine="632"/>
        <w:rPr>
          <w:rFonts w:ascii="仿宋_GB2312" w:hint="eastAsia"/>
        </w:rPr>
      </w:pPr>
      <w:r w:rsidRPr="008B73AA">
        <w:rPr>
          <w:rFonts w:ascii="仿宋_GB2312" w:hint="eastAsia"/>
        </w:rPr>
        <w:t>15</w:t>
      </w:r>
      <w:r>
        <w:rPr>
          <w:rFonts w:ascii="仿宋_GB2312" w:hint="eastAsia"/>
        </w:rPr>
        <w:t>．</w:t>
      </w:r>
      <w:r w:rsidRPr="008B73AA">
        <w:rPr>
          <w:rFonts w:ascii="仿宋_GB2312" w:hint="eastAsia"/>
        </w:rPr>
        <w:t>支持企业融资并购。发挥省扩产</w:t>
      </w:r>
      <w:proofErr w:type="gramStart"/>
      <w:r w:rsidRPr="008B73AA">
        <w:rPr>
          <w:rFonts w:ascii="仿宋_GB2312" w:hint="eastAsia"/>
        </w:rPr>
        <w:t>强基战新</w:t>
      </w:r>
      <w:proofErr w:type="gramEnd"/>
      <w:r w:rsidRPr="008B73AA">
        <w:rPr>
          <w:rFonts w:ascii="仿宋_GB2312" w:hint="eastAsia"/>
        </w:rPr>
        <w:t>基金作用，综合运用港股基石、</w:t>
      </w:r>
      <w:proofErr w:type="gramStart"/>
      <w:r w:rsidRPr="008B73AA">
        <w:rPr>
          <w:rFonts w:ascii="仿宋_GB2312" w:hint="eastAsia"/>
        </w:rPr>
        <w:t>上市定增等</w:t>
      </w:r>
      <w:proofErr w:type="gramEnd"/>
      <w:r w:rsidRPr="008B73AA">
        <w:rPr>
          <w:rFonts w:ascii="仿宋_GB2312" w:hint="eastAsia"/>
        </w:rPr>
        <w:t>方式，支持重点企业上市融资、投资扩产、资源整合。支持市属国有投资机构设立专项并购基金，参与上市公司并购重组。支持“链主”企业通过企业风险投资（CVC）方式围绕本产业</w:t>
      </w:r>
      <w:proofErr w:type="gramStart"/>
      <w:r w:rsidRPr="008B73AA">
        <w:rPr>
          <w:rFonts w:ascii="仿宋_GB2312" w:hint="eastAsia"/>
        </w:rPr>
        <w:t>链关键</w:t>
      </w:r>
      <w:proofErr w:type="gramEnd"/>
      <w:r w:rsidRPr="008B73AA">
        <w:rPr>
          <w:rFonts w:ascii="仿宋_GB2312" w:hint="eastAsia"/>
        </w:rPr>
        <w:t>环节开展并购重组。鼓励金融机构为并购重组及后续运营提供并购贷款、并购保险、并购债券等金融工具。（责任单位：市委金融办、市国资委、</w:t>
      </w:r>
      <w:proofErr w:type="gramStart"/>
      <w:r w:rsidRPr="008B73AA">
        <w:rPr>
          <w:rFonts w:ascii="仿宋_GB2312" w:hint="eastAsia"/>
        </w:rPr>
        <w:t>市发改委</w:t>
      </w:r>
      <w:proofErr w:type="gramEnd"/>
      <w:r w:rsidRPr="008B73AA">
        <w:rPr>
          <w:rFonts w:ascii="仿宋_GB2312" w:hint="eastAsia"/>
        </w:rPr>
        <w:t>、市财政局、苏州金融监管分局，各县级市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楷体_GB2312" w:eastAsia="楷体_GB2312" w:hAnsi="黑体" w:hint="eastAsia"/>
        </w:rPr>
      </w:pPr>
      <w:r w:rsidRPr="008B73AA">
        <w:rPr>
          <w:rFonts w:ascii="楷体_GB2312" w:eastAsia="楷体_GB2312" w:hAnsi="黑体" w:hint="eastAsia"/>
        </w:rPr>
        <w:t>（五）实施“生态涵养”行动，助推科技企业“蔚然成林”</w:t>
      </w:r>
      <w:r>
        <w:rPr>
          <w:rFonts w:ascii="楷体_GB2312" w:eastAsia="楷体_GB2312" w:hAnsi="黑体" w:hint="eastAsia"/>
        </w:rPr>
        <w:t>。</w:t>
      </w:r>
    </w:p>
    <w:p w:rsidR="008B73AA" w:rsidRPr="008B73AA" w:rsidRDefault="008B73AA" w:rsidP="008B73AA">
      <w:pPr>
        <w:ind w:firstLineChars="200" w:firstLine="632"/>
        <w:rPr>
          <w:rFonts w:ascii="仿宋_GB2312" w:hint="eastAsia"/>
        </w:rPr>
      </w:pPr>
      <w:r w:rsidRPr="008B73AA">
        <w:rPr>
          <w:rFonts w:ascii="仿宋_GB2312" w:hint="eastAsia"/>
        </w:rPr>
        <w:t>16</w:t>
      </w:r>
      <w:r>
        <w:rPr>
          <w:rFonts w:ascii="仿宋_GB2312" w:hint="eastAsia"/>
        </w:rPr>
        <w:t>．</w:t>
      </w:r>
      <w:r w:rsidRPr="008B73AA">
        <w:rPr>
          <w:rFonts w:ascii="仿宋_GB2312" w:hint="eastAsia"/>
        </w:rPr>
        <w:t>强化科技金融赋能。升级优化“四贷联动”风险共担机制，构建“政银企保担”协同的风险共担体系，对金融机构为科技企业提供科技信贷所产生的损失，给予最高1000万元风险补偿。建立科技保险风险补偿机制，对科技保险创新险种产生的损失，给予最高500万元补偿。对企业科技贷款利息、科技保险费、科技担保</w:t>
      </w:r>
      <w:proofErr w:type="gramStart"/>
      <w:r w:rsidRPr="008B73AA">
        <w:rPr>
          <w:rFonts w:ascii="仿宋_GB2312" w:hint="eastAsia"/>
        </w:rPr>
        <w:t>费给予</w:t>
      </w:r>
      <w:proofErr w:type="gramEnd"/>
      <w:r w:rsidRPr="008B73AA">
        <w:rPr>
          <w:rFonts w:ascii="仿宋_GB2312" w:hint="eastAsia"/>
        </w:rPr>
        <w:t>最高100万元补贴。（责任单位：</w:t>
      </w:r>
      <w:proofErr w:type="gramStart"/>
      <w:r w:rsidRPr="008B73AA">
        <w:rPr>
          <w:rFonts w:ascii="仿宋_GB2312" w:hint="eastAsia"/>
        </w:rPr>
        <w:t>市发改委</w:t>
      </w:r>
      <w:proofErr w:type="gramEnd"/>
      <w:r w:rsidRPr="008B73AA">
        <w:rPr>
          <w:rFonts w:ascii="仿宋_GB2312" w:hint="eastAsia"/>
        </w:rPr>
        <w:t>、市科</w:t>
      </w:r>
      <w:r w:rsidRPr="008B73AA">
        <w:rPr>
          <w:rFonts w:ascii="仿宋_GB2312" w:hint="eastAsia"/>
        </w:rPr>
        <w:lastRenderedPageBreak/>
        <w:t>技局、市财政局）</w:t>
      </w:r>
    </w:p>
    <w:p w:rsidR="008B73AA" w:rsidRPr="008B73AA" w:rsidRDefault="008B73AA" w:rsidP="008B73AA">
      <w:pPr>
        <w:ind w:firstLineChars="200" w:firstLine="632"/>
        <w:rPr>
          <w:rFonts w:ascii="仿宋_GB2312" w:hint="eastAsia"/>
        </w:rPr>
      </w:pPr>
      <w:r w:rsidRPr="008B73AA">
        <w:rPr>
          <w:rFonts w:ascii="仿宋_GB2312" w:hint="eastAsia"/>
        </w:rPr>
        <w:t>17</w:t>
      </w:r>
      <w:r>
        <w:rPr>
          <w:rFonts w:ascii="仿宋_GB2312" w:hint="eastAsia"/>
        </w:rPr>
        <w:t>．</w:t>
      </w:r>
      <w:r w:rsidRPr="008B73AA">
        <w:rPr>
          <w:rFonts w:ascii="仿宋_GB2312" w:hint="eastAsia"/>
        </w:rPr>
        <w:t>强化创新平台支撑。建好“苏创荟”智能平台，助推人才、成果、项目加快落地。加快建设硅光、</w:t>
      </w:r>
      <w:proofErr w:type="gramStart"/>
      <w:r w:rsidRPr="008B73AA">
        <w:rPr>
          <w:rFonts w:ascii="仿宋_GB2312" w:hint="eastAsia"/>
        </w:rPr>
        <w:t>具身智能</w:t>
      </w:r>
      <w:proofErr w:type="gramEnd"/>
      <w:r w:rsidRPr="008B73AA">
        <w:rPr>
          <w:rFonts w:ascii="仿宋_GB2312" w:hint="eastAsia"/>
        </w:rPr>
        <w:t>、生物医药等产业特色科技公共服务平台，发挥“公共平台+产业孵化”核心职能，提供技术开发、成果转化服务，给予最高2000万元支持。推行药品器械上市许可持有人制度，对承担研发生产服务的CXO平台，根据年度交易费用给予最高500万元支持。培育布局一批概念验证、中试工程化服务平台，给予最高200万元支持。鼓励平台对外开放共享，根据年度服务成效给予最高500万元支持。（责任单位：市科技局、市工信局，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仿宋_GB2312" w:hint="eastAsia"/>
        </w:rPr>
      </w:pPr>
      <w:r w:rsidRPr="008B73AA">
        <w:rPr>
          <w:rFonts w:ascii="仿宋_GB2312" w:hint="eastAsia"/>
        </w:rPr>
        <w:t>18</w:t>
      </w:r>
      <w:r>
        <w:rPr>
          <w:rFonts w:ascii="仿宋_GB2312" w:hint="eastAsia"/>
        </w:rPr>
        <w:t>．</w:t>
      </w:r>
      <w:r w:rsidRPr="008B73AA">
        <w:rPr>
          <w:rFonts w:ascii="仿宋_GB2312" w:hint="eastAsia"/>
        </w:rPr>
        <w:t>强化知识产权服务。支持企业实施高价值专利培育计划项目，每项给予50万元支持。建设产业知识产权与标准协同创新中心，实施知识产权与标准融合计划项目，每项给予100万元支持。完善知识产权保护服务体系，为企业提供快速审查、快速确权、快速维权“一站式”服务。建立知识产权</w:t>
      </w:r>
      <w:proofErr w:type="gramStart"/>
      <w:r w:rsidRPr="008B73AA">
        <w:rPr>
          <w:rFonts w:ascii="仿宋_GB2312" w:hint="eastAsia"/>
        </w:rPr>
        <w:t>纠纷诉调对接</w:t>
      </w:r>
      <w:proofErr w:type="gramEnd"/>
      <w:r w:rsidRPr="008B73AA">
        <w:rPr>
          <w:rFonts w:ascii="仿宋_GB2312" w:hint="eastAsia"/>
        </w:rPr>
        <w:t>机制，与法院深入开展知识产权纠纷协同治理工作。推动知识产权金融惠企，建立知识产权质押融资“贷款贴息+公共服务”政策体系，强化知识产权金融服务质效。（责任单位：市市场监管局）</w:t>
      </w:r>
    </w:p>
    <w:p w:rsidR="008B73AA" w:rsidRPr="008B73AA" w:rsidRDefault="008B73AA" w:rsidP="008B73AA">
      <w:pPr>
        <w:ind w:firstLineChars="200" w:firstLine="632"/>
        <w:rPr>
          <w:rFonts w:ascii="仿宋_GB2312" w:hint="eastAsia"/>
        </w:rPr>
      </w:pPr>
      <w:r w:rsidRPr="008B73AA">
        <w:rPr>
          <w:rFonts w:ascii="仿宋_GB2312" w:hint="eastAsia"/>
        </w:rPr>
        <w:t>19</w:t>
      </w:r>
      <w:r>
        <w:rPr>
          <w:rFonts w:ascii="仿宋_GB2312" w:hint="eastAsia"/>
        </w:rPr>
        <w:t>．</w:t>
      </w:r>
      <w:r w:rsidRPr="008B73AA">
        <w:rPr>
          <w:rFonts w:ascii="仿宋_GB2312" w:hint="eastAsia"/>
        </w:rPr>
        <w:t>强化创新人才服务。实施高端人才领航、产业人才支撑、青年人才集聚、人才生态创优系列行动，</w:t>
      </w:r>
      <w:proofErr w:type="gramStart"/>
      <w:r w:rsidRPr="008B73AA">
        <w:rPr>
          <w:rFonts w:ascii="仿宋_GB2312" w:hint="eastAsia"/>
        </w:rPr>
        <w:t>着力引育与</w:t>
      </w:r>
      <w:proofErr w:type="gramEnd"/>
      <w:r w:rsidRPr="008B73AA">
        <w:rPr>
          <w:rFonts w:ascii="仿宋_GB2312" w:hint="eastAsia"/>
        </w:rPr>
        <w:t>创新发展相适应的高素质人才队伍。优化人才综合服务配套，为人才提供购房补贴、医疗保健等一揽子人才待遇。构建技术经理人培育体系，</w:t>
      </w:r>
      <w:r w:rsidRPr="008B73AA">
        <w:rPr>
          <w:rFonts w:ascii="仿宋_GB2312" w:hint="eastAsia"/>
        </w:rPr>
        <w:lastRenderedPageBreak/>
        <w:t>将符合条件的技术经理人纳入紧缺人才计划政策支持范围。推动科技产业融合发展，鼓励企业与高校联合引育人才，支持“产业教授”“科技副总”申报苏州创新创业领军人才。（责任单位：市委人才办、市</w:t>
      </w:r>
      <w:proofErr w:type="gramStart"/>
      <w:r w:rsidRPr="008B73AA">
        <w:rPr>
          <w:rFonts w:ascii="仿宋_GB2312" w:hint="eastAsia"/>
        </w:rPr>
        <w:t>人社局</w:t>
      </w:r>
      <w:proofErr w:type="gramEnd"/>
      <w:r w:rsidRPr="008B73AA">
        <w:rPr>
          <w:rFonts w:ascii="仿宋_GB2312" w:hint="eastAsia"/>
        </w:rPr>
        <w:t>、市科技局，各县级市</w:t>
      </w:r>
      <w:r>
        <w:rPr>
          <w:rFonts w:ascii="仿宋_GB2312" w:hint="eastAsia"/>
        </w:rPr>
        <w:t>&lt;</w:t>
      </w:r>
      <w:r w:rsidRPr="008B73AA">
        <w:rPr>
          <w:rFonts w:ascii="仿宋_GB2312" w:hint="eastAsia"/>
        </w:rPr>
        <w:t>区</w:t>
      </w:r>
      <w:r>
        <w:rPr>
          <w:rFonts w:ascii="仿宋_GB2312" w:hint="eastAsia"/>
        </w:rPr>
        <w:t>&gt;</w:t>
      </w:r>
      <w:r w:rsidRPr="008B73AA">
        <w:rPr>
          <w:rFonts w:ascii="仿宋_GB2312" w:hint="eastAsia"/>
        </w:rPr>
        <w:t>）</w:t>
      </w:r>
    </w:p>
    <w:p w:rsidR="008B73AA" w:rsidRPr="008B73AA" w:rsidRDefault="008B73AA" w:rsidP="008B73AA">
      <w:pPr>
        <w:ind w:firstLineChars="200" w:firstLine="632"/>
        <w:rPr>
          <w:rFonts w:ascii="仿宋_GB2312" w:hint="eastAsia"/>
          <w:spacing w:val="-2"/>
        </w:rPr>
      </w:pPr>
      <w:r w:rsidRPr="008B73AA">
        <w:rPr>
          <w:rFonts w:ascii="仿宋_GB2312" w:hint="eastAsia"/>
        </w:rPr>
        <w:t>20</w:t>
      </w:r>
      <w:r>
        <w:rPr>
          <w:rFonts w:ascii="仿宋_GB2312" w:hint="eastAsia"/>
        </w:rPr>
        <w:t>．</w:t>
      </w:r>
      <w:r w:rsidRPr="008B73AA">
        <w:rPr>
          <w:rFonts w:ascii="仿宋_GB2312" w:hint="eastAsia"/>
        </w:rPr>
        <w:t>强化数据支撑和空间保障。支持公共数据资源开发利用，推动公共数据开放与授权运营，为企业用</w:t>
      </w:r>
      <w:proofErr w:type="gramStart"/>
      <w:r w:rsidRPr="008B73AA">
        <w:rPr>
          <w:rFonts w:ascii="仿宋_GB2312" w:hint="eastAsia"/>
        </w:rPr>
        <w:t>数提供</w:t>
      </w:r>
      <w:proofErr w:type="gramEnd"/>
      <w:r w:rsidRPr="008B73AA">
        <w:rPr>
          <w:rFonts w:ascii="仿宋_GB2312" w:hint="eastAsia"/>
        </w:rPr>
        <w:t>便利支撑。鼓励企业加快实施以数据要素为关键驱动力的数字化转型，引导企业构建企业行业可信数据空间。对需要新增用地且符合条件的科技企业，在年度土地利用计划指标中予以统筹安排，依法保障企业</w:t>
      </w:r>
      <w:r w:rsidRPr="008B73AA">
        <w:rPr>
          <w:rFonts w:ascii="仿宋_GB2312" w:hint="eastAsia"/>
          <w:spacing w:val="-2"/>
        </w:rPr>
        <w:t>用地需求。（责任单位：市数据局、市</w:t>
      </w:r>
      <w:r w:rsidRPr="008B73AA">
        <w:rPr>
          <w:rFonts w:ascii="仿宋_GB2312" w:hint="eastAsia"/>
          <w:spacing w:val="-2"/>
        </w:rPr>
        <w:t>资源规划</w:t>
      </w:r>
      <w:r w:rsidRPr="008B73AA">
        <w:rPr>
          <w:rFonts w:ascii="仿宋_GB2312" w:hint="eastAsia"/>
          <w:spacing w:val="-2"/>
        </w:rPr>
        <w:t>局，各县级市</w:t>
      </w:r>
      <w:r w:rsidRPr="008B73AA">
        <w:rPr>
          <w:rFonts w:ascii="仿宋_GB2312" w:hint="eastAsia"/>
          <w:spacing w:val="-2"/>
        </w:rPr>
        <w:t>&lt;</w:t>
      </w:r>
      <w:r w:rsidRPr="008B73AA">
        <w:rPr>
          <w:rFonts w:ascii="仿宋_GB2312" w:hint="eastAsia"/>
          <w:spacing w:val="-2"/>
        </w:rPr>
        <w:t>区</w:t>
      </w:r>
      <w:r w:rsidRPr="008B73AA">
        <w:rPr>
          <w:rFonts w:ascii="仿宋_GB2312" w:hint="eastAsia"/>
          <w:spacing w:val="-2"/>
        </w:rPr>
        <w:t>&gt;</w:t>
      </w:r>
      <w:r w:rsidRPr="008B73AA">
        <w:rPr>
          <w:rFonts w:ascii="仿宋_GB2312" w:hint="eastAsia"/>
          <w:spacing w:val="-2"/>
        </w:rPr>
        <w:t>）</w:t>
      </w:r>
    </w:p>
    <w:p w:rsidR="008B73AA" w:rsidRPr="008B73AA" w:rsidRDefault="008B73AA" w:rsidP="008B73AA">
      <w:pPr>
        <w:ind w:firstLineChars="200" w:firstLine="632"/>
        <w:rPr>
          <w:rFonts w:ascii="黑体" w:eastAsia="黑体" w:hAnsi="黑体" w:hint="eastAsia"/>
        </w:rPr>
      </w:pPr>
      <w:r w:rsidRPr="008B73AA">
        <w:rPr>
          <w:rFonts w:ascii="黑体" w:eastAsia="黑体" w:hAnsi="黑体" w:hint="eastAsia"/>
        </w:rPr>
        <w:t>三、组织保障</w:t>
      </w:r>
    </w:p>
    <w:p w:rsidR="008B73AA" w:rsidRPr="008B73AA" w:rsidRDefault="008B73AA" w:rsidP="008B73AA">
      <w:pPr>
        <w:ind w:firstLineChars="200" w:firstLine="632"/>
        <w:rPr>
          <w:rFonts w:ascii="仿宋_GB2312" w:hint="eastAsia"/>
        </w:rPr>
      </w:pPr>
      <w:r w:rsidRPr="008B73AA">
        <w:rPr>
          <w:rFonts w:ascii="仿宋_GB2312" w:hint="eastAsia"/>
        </w:rPr>
        <w:t>构建“成林计划”企业服务体系，形成企业诉求及时掌握、有效跟进、及时解决的精准稳企服务机制，统筹资源“一对一”服务企业。坚持全市“一盘棋”，上下联动，统筹协同。政府科技创新投入预算安排原则上只增不减。政府财政科技支出增长幅度高于财政经常性收入增长幅度。加强政策实施过程跟踪，科学分析实施情况，确保支持政策落地见效。各部门政策所涉及资金按原渠道和财政体制要求落实，并做好全过程监督。</w:t>
      </w:r>
    </w:p>
    <w:p w:rsidR="001C735F" w:rsidRPr="008B73AA" w:rsidRDefault="008B73AA" w:rsidP="008B73AA">
      <w:pPr>
        <w:ind w:firstLineChars="200" w:firstLine="632"/>
        <w:rPr>
          <w:rFonts w:ascii="仿宋_GB2312" w:hint="eastAsia"/>
        </w:rPr>
      </w:pPr>
      <w:r w:rsidRPr="008B73AA">
        <w:rPr>
          <w:rFonts w:ascii="仿宋_GB2312" w:hint="eastAsia"/>
        </w:rPr>
        <w:t>本文件自2026年</w:t>
      </w:r>
      <w:r>
        <w:rPr>
          <w:rFonts w:ascii="仿宋_GB2312" w:hint="eastAsia"/>
        </w:rPr>
        <w:t>2</w:t>
      </w:r>
      <w:r w:rsidRPr="008B73AA">
        <w:rPr>
          <w:rFonts w:ascii="仿宋_GB2312" w:hint="eastAsia"/>
        </w:rPr>
        <w:t>月</w:t>
      </w:r>
      <w:r>
        <w:rPr>
          <w:rFonts w:ascii="仿宋_GB2312" w:hint="eastAsia"/>
        </w:rPr>
        <w:t>1</w:t>
      </w:r>
      <w:r w:rsidRPr="008B73AA">
        <w:rPr>
          <w:rFonts w:ascii="仿宋_GB2312" w:hint="eastAsia"/>
        </w:rPr>
        <w:t>日起施行，有效期至2028年12月31日。本文件由苏州市人民政府负责解释，具体解释工作由市科技局会同相关部门承担。本文件规定的政策与相关政策文件同类或重复的，按就高不重复原则予以落实。</w:t>
      </w:r>
    </w:p>
    <w:p w:rsidR="001C735F" w:rsidRDefault="001C735F" w:rsidP="00B3440F">
      <w:pPr>
        <w:spacing w:line="580" w:lineRule="exact"/>
      </w:pPr>
    </w:p>
    <w:p w:rsidR="001C735F" w:rsidRDefault="001C735F" w:rsidP="00B3440F">
      <w:pPr>
        <w:spacing w:line="580" w:lineRule="exact"/>
      </w:pPr>
    </w:p>
    <w:p w:rsidR="001C735F" w:rsidRDefault="001C735F"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Default="008B73AA" w:rsidP="00B3440F">
      <w:pPr>
        <w:spacing w:line="580" w:lineRule="exact"/>
        <w:rPr>
          <w:rFonts w:hint="eastAsia"/>
        </w:rPr>
      </w:pPr>
    </w:p>
    <w:p w:rsidR="008B73AA" w:rsidRPr="00B3440F" w:rsidRDefault="008B73AA" w:rsidP="00B3440F">
      <w:pPr>
        <w:spacing w:line="580" w:lineRule="exact"/>
      </w:pPr>
    </w:p>
    <w:tbl>
      <w:tblPr>
        <w:tblStyle w:val="ad"/>
        <w:tblW w:w="8845" w:type="dxa"/>
        <w:jc w:val="center"/>
        <w:tblBorders>
          <w:top w:val="single" w:sz="8" w:space="0" w:color="000000"/>
          <w:left w:val="none" w:sz="0" w:space="0" w:color="auto"/>
          <w:bottom w:val="single" w:sz="8" w:space="0" w:color="000000"/>
          <w:right w:val="none" w:sz="0" w:space="0" w:color="auto"/>
          <w:insideH w:val="single" w:sz="6" w:space="0" w:color="000000"/>
          <w:insideV w:val="single" w:sz="6" w:space="0" w:color="000000"/>
        </w:tblBorders>
        <w:tblLook w:val="01E0" w:firstRow="1" w:lastRow="1" w:firstColumn="1" w:lastColumn="1" w:noHBand="0" w:noVBand="0"/>
      </w:tblPr>
      <w:tblGrid>
        <w:gridCol w:w="8845"/>
      </w:tblGrid>
      <w:tr w:rsidR="00B3440F" w:rsidRPr="00B3440F">
        <w:trPr>
          <w:jc w:val="center"/>
        </w:trPr>
        <w:tc>
          <w:tcPr>
            <w:tcW w:w="9060" w:type="dxa"/>
          </w:tcPr>
          <w:p w:rsidR="00B3440F" w:rsidRPr="00E40EE9" w:rsidRDefault="00B3440F" w:rsidP="001C735F">
            <w:pPr>
              <w:spacing w:line="570" w:lineRule="exact"/>
              <w:ind w:leftChars="100" w:left="1144" w:rightChars="100" w:right="316" w:hangingChars="300" w:hanging="828"/>
              <w:rPr>
                <w:rFonts w:ascii="仿宋_GB2312"/>
                <w:sz w:val="28"/>
                <w:szCs w:val="28"/>
              </w:rPr>
            </w:pPr>
            <w:r w:rsidRPr="00B3440F">
              <w:rPr>
                <w:rFonts w:ascii="仿宋_GB2312" w:hint="eastAsia"/>
                <w:sz w:val="28"/>
                <w:szCs w:val="28"/>
              </w:rPr>
              <w:t>抄送：</w:t>
            </w:r>
            <w:r w:rsidR="00F8118A" w:rsidRPr="00550A8A">
              <w:rPr>
                <w:rFonts w:ascii="仿宋_GB2312" w:hAnsi="仿宋" w:hint="eastAsia"/>
                <w:sz w:val="28"/>
                <w:szCs w:val="28"/>
              </w:rPr>
              <w:t>市委各部委办局，市人大常委会办公室，市政协办公室，</w:t>
            </w:r>
            <w:r w:rsidR="00F8118A">
              <w:rPr>
                <w:rFonts w:ascii="仿宋_GB2312" w:hAnsi="仿宋" w:hint="eastAsia"/>
                <w:sz w:val="28"/>
                <w:szCs w:val="28"/>
              </w:rPr>
              <w:t>市纪委监委，</w:t>
            </w:r>
            <w:r w:rsidR="00F8118A" w:rsidRPr="00550A8A">
              <w:rPr>
                <w:rFonts w:ascii="仿宋_GB2312" w:hAnsi="仿宋" w:hint="eastAsia"/>
                <w:sz w:val="28"/>
                <w:szCs w:val="28"/>
              </w:rPr>
              <w:t>市</w:t>
            </w:r>
            <w:r w:rsidR="00F8118A">
              <w:rPr>
                <w:rFonts w:ascii="仿宋_GB2312" w:hAnsi="仿宋" w:hint="eastAsia"/>
                <w:sz w:val="28"/>
                <w:szCs w:val="28"/>
              </w:rPr>
              <w:t>中级</w:t>
            </w:r>
            <w:r w:rsidR="00F8118A" w:rsidRPr="00550A8A">
              <w:rPr>
                <w:rFonts w:ascii="仿宋_GB2312" w:hAnsi="仿宋" w:hint="eastAsia"/>
                <w:sz w:val="28"/>
                <w:szCs w:val="28"/>
              </w:rPr>
              <w:t>法院，市检察院，</w:t>
            </w:r>
            <w:r w:rsidR="00F8118A">
              <w:rPr>
                <w:rFonts w:ascii="仿宋_GB2312" w:hAnsi="仿宋" w:hint="eastAsia"/>
                <w:sz w:val="28"/>
                <w:szCs w:val="28"/>
              </w:rPr>
              <w:t>苏州</w:t>
            </w:r>
            <w:r w:rsidR="00F8118A" w:rsidRPr="00550A8A">
              <w:rPr>
                <w:rFonts w:ascii="仿宋_GB2312" w:hAnsi="仿宋" w:hint="eastAsia"/>
                <w:sz w:val="28"/>
                <w:szCs w:val="28"/>
              </w:rPr>
              <w:t>军分区，市各民主党派，市各人民团体，市工商联，各大专院校</w:t>
            </w:r>
            <w:r w:rsidR="00E40EE9" w:rsidRPr="00E40EE9">
              <w:rPr>
                <w:rFonts w:ascii="仿宋_GB2312" w:hint="eastAsia"/>
                <w:sz w:val="28"/>
                <w:szCs w:val="28"/>
              </w:rPr>
              <w:t>。</w:t>
            </w:r>
          </w:p>
        </w:tc>
      </w:tr>
      <w:tr w:rsidR="00B3440F" w:rsidRPr="00B3440F">
        <w:trPr>
          <w:jc w:val="center"/>
        </w:trPr>
        <w:tc>
          <w:tcPr>
            <w:tcW w:w="9060" w:type="dxa"/>
          </w:tcPr>
          <w:p w:rsidR="00B3440F" w:rsidRPr="00B3440F" w:rsidRDefault="00B3440F" w:rsidP="00C113ED">
            <w:pPr>
              <w:spacing w:line="570" w:lineRule="exact"/>
              <w:ind w:leftChars="100" w:left="316" w:rightChars="100" w:right="316"/>
              <w:rPr>
                <w:rFonts w:ascii="仿宋_GB2312"/>
                <w:sz w:val="28"/>
                <w:szCs w:val="28"/>
              </w:rPr>
            </w:pPr>
            <w:r w:rsidRPr="00B3440F">
              <w:rPr>
                <w:rFonts w:ascii="仿宋_GB2312" w:hint="eastAsia"/>
                <w:sz w:val="28"/>
                <w:szCs w:val="28"/>
              </w:rPr>
              <w:t xml:space="preserve">苏州市人民政府办公室              </w:t>
            </w:r>
            <w:r w:rsidR="008B73AA">
              <w:rPr>
                <w:rFonts w:ascii="仿宋_GB2312" w:hint="eastAsia"/>
                <w:sz w:val="28"/>
                <w:szCs w:val="28"/>
              </w:rPr>
              <w:t xml:space="preserve">   </w:t>
            </w:r>
            <w:r w:rsidRPr="00B3440F">
              <w:rPr>
                <w:rFonts w:ascii="仿宋_GB2312" w:hint="eastAsia"/>
                <w:sz w:val="28"/>
                <w:szCs w:val="28"/>
              </w:rPr>
              <w:t>20</w:t>
            </w:r>
            <w:r w:rsidR="004B60EE">
              <w:rPr>
                <w:rFonts w:ascii="仿宋_GB2312" w:hint="eastAsia"/>
                <w:sz w:val="28"/>
                <w:szCs w:val="28"/>
              </w:rPr>
              <w:t>2</w:t>
            </w:r>
            <w:r w:rsidR="00C113ED">
              <w:rPr>
                <w:rFonts w:ascii="仿宋_GB2312" w:hint="eastAsia"/>
                <w:sz w:val="28"/>
                <w:szCs w:val="28"/>
              </w:rPr>
              <w:t>5</w:t>
            </w:r>
            <w:r w:rsidRPr="00B3440F">
              <w:rPr>
                <w:rFonts w:ascii="仿宋_GB2312" w:hint="eastAsia"/>
                <w:sz w:val="28"/>
                <w:szCs w:val="28"/>
              </w:rPr>
              <w:t>年</w:t>
            </w:r>
            <w:r w:rsidR="008B73AA">
              <w:rPr>
                <w:rFonts w:ascii="仿宋_GB2312" w:hint="eastAsia"/>
                <w:sz w:val="28"/>
                <w:szCs w:val="28"/>
              </w:rPr>
              <w:t>12</w:t>
            </w:r>
            <w:r w:rsidRPr="00B3440F">
              <w:rPr>
                <w:rFonts w:ascii="仿宋_GB2312" w:hint="eastAsia"/>
                <w:sz w:val="28"/>
                <w:szCs w:val="28"/>
              </w:rPr>
              <w:t>月</w:t>
            </w:r>
            <w:r w:rsidR="008B73AA">
              <w:rPr>
                <w:rFonts w:ascii="仿宋_GB2312" w:hint="eastAsia"/>
                <w:sz w:val="28"/>
                <w:szCs w:val="28"/>
              </w:rPr>
              <w:t>31</w:t>
            </w:r>
            <w:r w:rsidRPr="00B3440F">
              <w:rPr>
                <w:rFonts w:ascii="仿宋_GB2312" w:hint="eastAsia"/>
                <w:sz w:val="28"/>
                <w:szCs w:val="28"/>
              </w:rPr>
              <w:t>日印发</w:t>
            </w:r>
          </w:p>
        </w:tc>
      </w:tr>
    </w:tbl>
    <w:p w:rsidR="00B3440F" w:rsidRPr="00B3440F" w:rsidRDefault="00B3440F" w:rsidP="00B3440F">
      <w:pPr>
        <w:spacing w:line="14" w:lineRule="exact"/>
      </w:pPr>
    </w:p>
    <w:sectPr w:rsidR="00B3440F" w:rsidRPr="00B3440F" w:rsidSect="00B3440F">
      <w:footerReference w:type="even" r:id="rId9"/>
      <w:footerReference w:type="default" r:id="rId10"/>
      <w:footerReference w:type="first" r:id="rId11"/>
      <w:pgSz w:w="11906" w:h="16838" w:code="9"/>
      <w:pgMar w:top="2041" w:right="1474" w:bottom="1985" w:left="1588" w:header="851" w:footer="1520" w:gutter="0"/>
      <w:pgNumType w:start="1" w:chapStyle="1"/>
      <w:cols w:space="425"/>
      <w:docGrid w:type="linesAndChars" w:linePitch="58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17" w:rsidRDefault="00AD2D17">
      <w:r>
        <w:separator/>
      </w:r>
    </w:p>
  </w:endnote>
  <w:endnote w:type="continuationSeparator" w:id="0">
    <w:p w:rsidR="00AD2D17" w:rsidRDefault="00A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CS仿宋体">
    <w:altName w:val="宋体"/>
    <w:charset w:val="86"/>
    <w:family w:val="modern"/>
    <w:pitch w:val="default"/>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Pr="00116805" w:rsidRDefault="009C3117" w:rsidP="00B3440F">
    <w:pPr>
      <w:pStyle w:val="a3"/>
      <w:ind w:leftChars="100" w:left="320" w:rightChars="100" w:right="320"/>
      <w:rPr>
        <w:rFonts w:ascii="宋体" w:eastAsia="宋体" w:hAnsi="宋体"/>
      </w:rPr>
    </w:pPr>
    <w:r w:rsidRPr="00116805">
      <w:rPr>
        <w:rStyle w:val="a4"/>
        <w:rFonts w:ascii="宋体" w:eastAsia="宋体" w:hAnsi="宋体" w:hint="eastAsia"/>
        <w:sz w:val="28"/>
        <w:szCs w:val="28"/>
      </w:rPr>
      <w:t xml:space="preserve">— </w:t>
    </w:r>
    <w:r w:rsidRPr="00116805">
      <w:rPr>
        <w:rStyle w:val="a4"/>
        <w:rFonts w:ascii="宋体" w:eastAsia="宋体" w:hAnsi="宋体"/>
        <w:sz w:val="28"/>
        <w:szCs w:val="28"/>
      </w:rPr>
      <w:fldChar w:fldCharType="begin"/>
    </w:r>
    <w:r w:rsidRPr="00116805">
      <w:rPr>
        <w:rStyle w:val="a4"/>
        <w:rFonts w:ascii="宋体" w:eastAsia="宋体" w:hAnsi="宋体"/>
        <w:sz w:val="28"/>
        <w:szCs w:val="28"/>
      </w:rPr>
      <w:instrText xml:space="preserve">PAGE  </w:instrText>
    </w:r>
    <w:r w:rsidRPr="00116805">
      <w:rPr>
        <w:rStyle w:val="a4"/>
        <w:rFonts w:ascii="宋体" w:eastAsia="宋体" w:hAnsi="宋体"/>
        <w:sz w:val="28"/>
        <w:szCs w:val="28"/>
      </w:rPr>
      <w:fldChar w:fldCharType="separate"/>
    </w:r>
    <w:r w:rsidR="00784467">
      <w:rPr>
        <w:rStyle w:val="a4"/>
        <w:rFonts w:ascii="宋体" w:eastAsia="宋体" w:hAnsi="宋体"/>
        <w:noProof/>
        <w:sz w:val="28"/>
        <w:szCs w:val="28"/>
      </w:rPr>
      <w:t>10</w:t>
    </w:r>
    <w:r w:rsidRPr="00116805">
      <w:rPr>
        <w:rStyle w:val="a4"/>
        <w:rFonts w:ascii="宋体" w:eastAsia="宋体" w:hAnsi="宋体"/>
        <w:sz w:val="28"/>
        <w:szCs w:val="28"/>
      </w:rPr>
      <w:fldChar w:fldCharType="end"/>
    </w:r>
    <w:r w:rsidRPr="00116805">
      <w:rPr>
        <w:rStyle w:val="a4"/>
        <w:rFonts w:ascii="宋体" w:eastAsia="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Pr="00116805" w:rsidRDefault="008D3F64" w:rsidP="00B3440F">
    <w:pPr>
      <w:pStyle w:val="a3"/>
      <w:ind w:leftChars="100" w:left="320" w:rightChars="100" w:right="320"/>
      <w:jc w:val="right"/>
      <w:rPr>
        <w:rFonts w:ascii="宋体" w:eastAsia="宋体" w:hAnsi="宋体"/>
        <w:sz w:val="28"/>
        <w:szCs w:val="28"/>
      </w:rPr>
    </w:pPr>
    <w:r w:rsidRPr="00116805">
      <w:rPr>
        <w:rStyle w:val="a4"/>
        <w:rFonts w:ascii="宋体" w:eastAsia="宋体" w:hAnsi="宋体" w:hint="eastAsia"/>
        <w:sz w:val="28"/>
        <w:szCs w:val="28"/>
      </w:rPr>
      <w:t xml:space="preserve">— </w:t>
    </w:r>
    <w:r w:rsidRPr="00116805">
      <w:rPr>
        <w:rStyle w:val="a4"/>
        <w:rFonts w:ascii="宋体" w:eastAsia="宋体" w:hAnsi="宋体"/>
        <w:sz w:val="28"/>
        <w:szCs w:val="28"/>
      </w:rPr>
      <w:fldChar w:fldCharType="begin"/>
    </w:r>
    <w:r w:rsidRPr="00116805">
      <w:rPr>
        <w:rStyle w:val="a4"/>
        <w:rFonts w:ascii="宋体" w:eastAsia="宋体" w:hAnsi="宋体"/>
        <w:sz w:val="28"/>
        <w:szCs w:val="28"/>
      </w:rPr>
      <w:instrText xml:space="preserve">PAGE  </w:instrText>
    </w:r>
    <w:r w:rsidRPr="00116805">
      <w:rPr>
        <w:rStyle w:val="a4"/>
        <w:rFonts w:ascii="宋体" w:eastAsia="宋体" w:hAnsi="宋体"/>
        <w:sz w:val="28"/>
        <w:szCs w:val="28"/>
      </w:rPr>
      <w:fldChar w:fldCharType="separate"/>
    </w:r>
    <w:r w:rsidR="00784467">
      <w:rPr>
        <w:rStyle w:val="a4"/>
        <w:rFonts w:ascii="宋体" w:eastAsia="宋体" w:hAnsi="宋体"/>
        <w:noProof/>
        <w:sz w:val="28"/>
        <w:szCs w:val="28"/>
      </w:rPr>
      <w:t>1</w:t>
    </w:r>
    <w:r w:rsidRPr="00116805">
      <w:rPr>
        <w:rStyle w:val="a4"/>
        <w:rFonts w:ascii="宋体" w:eastAsia="宋体" w:hAnsi="宋体"/>
        <w:sz w:val="28"/>
        <w:szCs w:val="28"/>
      </w:rPr>
      <w:fldChar w:fldCharType="end"/>
    </w:r>
    <w:r w:rsidRPr="00116805">
      <w:rPr>
        <w:rStyle w:val="a4"/>
        <w:rFonts w:ascii="宋体" w:eastAsia="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64" w:rsidRDefault="008D3F64">
    <w:pPr>
      <w:pStyle w:val="a3"/>
      <w:jc w:val="center"/>
      <w:rPr>
        <w:sz w:val="32"/>
      </w:rPr>
    </w:pPr>
    <w:r>
      <w:rPr>
        <w:rStyle w:val="a4"/>
        <w:rFonts w:hint="eastAsia"/>
        <w:sz w:val="32"/>
      </w:rPr>
      <w:t>—</w:t>
    </w:r>
    <w:r>
      <w:rPr>
        <w:rStyle w:val="a4"/>
        <w:rFonts w:hint="eastAsia"/>
        <w:sz w:val="32"/>
      </w:rPr>
      <w:t xml:space="preserve"> </w:t>
    </w:r>
    <w:r>
      <w:rPr>
        <w:rStyle w:val="a4"/>
        <w:rFonts w:hint="eastAsia"/>
        <w:sz w:val="30"/>
      </w:rPr>
      <w:fldChar w:fldCharType="begin"/>
    </w:r>
    <w:r>
      <w:rPr>
        <w:rStyle w:val="a4"/>
        <w:rFonts w:hint="eastAsia"/>
        <w:sz w:val="30"/>
      </w:rPr>
      <w:instrText xml:space="preserve"> PAGE </w:instrText>
    </w:r>
    <w:r>
      <w:rPr>
        <w:rStyle w:val="a4"/>
        <w:rFonts w:hint="eastAsia"/>
        <w:sz w:val="30"/>
      </w:rPr>
      <w:fldChar w:fldCharType="separate"/>
    </w:r>
    <w:r>
      <w:rPr>
        <w:rStyle w:val="a4"/>
        <w:noProof/>
        <w:sz w:val="30"/>
      </w:rPr>
      <w:t>1</w:t>
    </w:r>
    <w:r>
      <w:rPr>
        <w:rStyle w:val="a4"/>
        <w:rFonts w:hint="eastAsia"/>
        <w:sz w:val="30"/>
      </w:rPr>
      <w:fldChar w:fldCharType="end"/>
    </w:r>
    <w:r>
      <w:rPr>
        <w:rStyle w:val="a4"/>
        <w:rFonts w:hint="eastAsia"/>
        <w:sz w:val="32"/>
      </w:rPr>
      <w:t xml:space="preserve"> </w:t>
    </w:r>
    <w:r>
      <w:rPr>
        <w:rStyle w:val="a4"/>
        <w:rFonts w:hint="eastAsia"/>
        <w:sz w:val="3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17" w:rsidRDefault="00AD2D17">
      <w:r>
        <w:separator/>
      </w:r>
    </w:p>
  </w:footnote>
  <w:footnote w:type="continuationSeparator" w:id="0">
    <w:p w:rsidR="00AD2D17" w:rsidRDefault="00AD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chineseCounting"/>
      <w:suff w:val="nothing"/>
      <w:lvlText w:val="（%1）"/>
      <w:lvlJc w:val="left"/>
    </w:lvl>
  </w:abstractNum>
  <w:abstractNum w:abstractNumId="1">
    <w:nsid w:val="00503C2E"/>
    <w:multiLevelType w:val="hybridMultilevel"/>
    <w:tmpl w:val="F23454E2"/>
    <w:lvl w:ilvl="0" w:tplc="76AC3FC6">
      <w:start w:val="1"/>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014D19ED"/>
    <w:multiLevelType w:val="hybridMultilevel"/>
    <w:tmpl w:val="984E71D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68129EA"/>
    <w:multiLevelType w:val="hybridMultilevel"/>
    <w:tmpl w:val="27A682B6"/>
    <w:lvl w:ilvl="0" w:tplc="42948A04">
      <w:start w:val="1"/>
      <w:numFmt w:val="japaneseCounting"/>
      <w:lvlText w:val="%1、"/>
      <w:lvlJc w:val="left"/>
      <w:pPr>
        <w:tabs>
          <w:tab w:val="num" w:pos="1360"/>
        </w:tabs>
        <w:ind w:left="1360" w:hanging="720"/>
      </w:pPr>
      <w:rPr>
        <w:rFonts w:hint="eastAsia"/>
      </w:rPr>
    </w:lvl>
    <w:lvl w:ilvl="1" w:tplc="E7487484">
      <w:start w:val="3"/>
      <w:numFmt w:val="decimal"/>
      <w:lvlText w:val="%2、"/>
      <w:lvlJc w:val="left"/>
      <w:pPr>
        <w:tabs>
          <w:tab w:val="num" w:pos="1780"/>
        </w:tabs>
        <w:ind w:left="1780" w:hanging="720"/>
      </w:pPr>
      <w:rPr>
        <w:rFonts w:hint="default"/>
        <w:b/>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0D176257"/>
    <w:multiLevelType w:val="hybridMultilevel"/>
    <w:tmpl w:val="CD04A6B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F71130A"/>
    <w:multiLevelType w:val="hybridMultilevel"/>
    <w:tmpl w:val="A4A60806"/>
    <w:lvl w:ilvl="0" w:tplc="A4ACF834">
      <w:start w:val="1"/>
      <w:numFmt w:val="japaneseCounting"/>
      <w:lvlText w:val="%1、"/>
      <w:lvlJc w:val="left"/>
      <w:pPr>
        <w:tabs>
          <w:tab w:val="num" w:pos="720"/>
        </w:tabs>
        <w:ind w:left="720" w:hanging="720"/>
      </w:pPr>
      <w:rPr>
        <w:rFonts w:ascii="宋体" w:hAnsi="Arial" w:cs="Arial"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491DD2"/>
    <w:multiLevelType w:val="hybridMultilevel"/>
    <w:tmpl w:val="4D3C63B2"/>
    <w:lvl w:ilvl="0" w:tplc="AD2600FE">
      <w:start w:val="1"/>
      <w:numFmt w:val="japaneseCounting"/>
      <w:lvlText w:val="%1、"/>
      <w:lvlJc w:val="left"/>
      <w:pPr>
        <w:tabs>
          <w:tab w:val="num" w:pos="1320"/>
        </w:tabs>
        <w:ind w:left="1320" w:hanging="720"/>
      </w:pPr>
      <w:rPr>
        <w:rFonts w:hint="default"/>
      </w:rPr>
    </w:lvl>
    <w:lvl w:ilvl="1" w:tplc="98E2A3CE">
      <w:start w:val="2"/>
      <w:numFmt w:val="decimal"/>
      <w:lvlText w:val="%2、"/>
      <w:lvlJc w:val="left"/>
      <w:pPr>
        <w:tabs>
          <w:tab w:val="num" w:pos="1740"/>
        </w:tabs>
        <w:ind w:left="1740" w:hanging="720"/>
      </w:pPr>
      <w:rPr>
        <w:rFonts w:hint="default"/>
      </w:rPr>
    </w:lvl>
    <w:lvl w:ilvl="2" w:tplc="0B447D40">
      <w:start w:val="1"/>
      <w:numFmt w:val="decimal"/>
      <w:lvlText w:val="（%3）"/>
      <w:lvlJc w:val="left"/>
      <w:pPr>
        <w:tabs>
          <w:tab w:val="num" w:pos="2790"/>
        </w:tabs>
        <w:ind w:left="2790" w:hanging="1350"/>
      </w:pPr>
      <w:rPr>
        <w:rFonts w:hint="default"/>
      </w:r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158D6D7F"/>
    <w:multiLevelType w:val="hybridMultilevel"/>
    <w:tmpl w:val="0096B6D4"/>
    <w:lvl w:ilvl="0" w:tplc="EF983FD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nsid w:val="161E2CF4"/>
    <w:multiLevelType w:val="hybridMultilevel"/>
    <w:tmpl w:val="B080BE98"/>
    <w:lvl w:ilvl="0" w:tplc="58FC17DC">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9">
    <w:nsid w:val="17874082"/>
    <w:multiLevelType w:val="hybridMultilevel"/>
    <w:tmpl w:val="CB04CDCE"/>
    <w:lvl w:ilvl="0" w:tplc="11CE48E8">
      <w:start w:val="1"/>
      <w:numFmt w:val="japaneseCounting"/>
      <w:lvlText w:val="%1、"/>
      <w:lvlJc w:val="left"/>
      <w:pPr>
        <w:tabs>
          <w:tab w:val="num" w:pos="720"/>
        </w:tabs>
        <w:ind w:left="720" w:hanging="720"/>
      </w:pPr>
      <w:rPr>
        <w:rFonts w:hint="default"/>
      </w:rPr>
    </w:lvl>
    <w:lvl w:ilvl="1" w:tplc="02500702">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6316CEF"/>
    <w:multiLevelType w:val="hybridMultilevel"/>
    <w:tmpl w:val="A84E4F6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6CF07E8"/>
    <w:multiLevelType w:val="hybridMultilevel"/>
    <w:tmpl w:val="D10C32CE"/>
    <w:lvl w:ilvl="0" w:tplc="B5C83FFA">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2">
    <w:nsid w:val="297D562E"/>
    <w:multiLevelType w:val="hybridMultilevel"/>
    <w:tmpl w:val="006ED382"/>
    <w:lvl w:ilvl="0" w:tplc="FA7E5074">
      <w:start w:val="2"/>
      <w:numFmt w:val="decimal"/>
      <w:lvlText w:val="%1、"/>
      <w:lvlJc w:val="left"/>
      <w:pPr>
        <w:tabs>
          <w:tab w:val="num" w:pos="720"/>
        </w:tabs>
        <w:ind w:left="720" w:hanging="720"/>
      </w:pPr>
      <w:rPr>
        <w:rFonts w:ascii="仿宋_GB2312" w:eastAsia="仿宋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D97C14"/>
    <w:multiLevelType w:val="hybridMultilevel"/>
    <w:tmpl w:val="A6DCB3D0"/>
    <w:lvl w:ilvl="0" w:tplc="608EA036">
      <w:start w:val="1"/>
      <w:numFmt w:val="decimal"/>
      <w:lvlText w:val="%1、"/>
      <w:lvlJc w:val="left"/>
      <w:pPr>
        <w:tabs>
          <w:tab w:val="num" w:pos="1360"/>
        </w:tabs>
        <w:ind w:left="1360" w:hanging="720"/>
      </w:pPr>
      <w:rPr>
        <w:rFonts w:ascii="楷体_GB2312" w:eastAsia="楷体_GB2312" w:hint="default"/>
        <w:b/>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909599E"/>
    <w:multiLevelType w:val="hybridMultilevel"/>
    <w:tmpl w:val="83EC657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3A260C8E"/>
    <w:multiLevelType w:val="hybridMultilevel"/>
    <w:tmpl w:val="E24E619E"/>
    <w:lvl w:ilvl="0" w:tplc="F45ACEE0">
      <w:start w:val="2"/>
      <w:numFmt w:val="decimal"/>
      <w:lvlText w:val="%1、"/>
      <w:lvlJc w:val="left"/>
      <w:pPr>
        <w:tabs>
          <w:tab w:val="num" w:pos="1365"/>
        </w:tabs>
        <w:ind w:left="1365" w:hanging="720"/>
      </w:pPr>
      <w:rPr>
        <w:rFonts w:ascii="仿宋_GB2312" w:eastAsia="仿宋_GB2312"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6">
    <w:nsid w:val="3C110D77"/>
    <w:multiLevelType w:val="hybridMultilevel"/>
    <w:tmpl w:val="1E367AD6"/>
    <w:lvl w:ilvl="0" w:tplc="44FE127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7">
    <w:nsid w:val="438929EB"/>
    <w:multiLevelType w:val="hybridMultilevel"/>
    <w:tmpl w:val="CEC85C5C"/>
    <w:lvl w:ilvl="0" w:tplc="FFFFFFFF">
      <w:start w:val="8"/>
      <w:numFmt w:val="japaneseCounting"/>
      <w:lvlText w:val="第%1条"/>
      <w:lvlJc w:val="left"/>
      <w:pPr>
        <w:tabs>
          <w:tab w:val="num" w:pos="2550"/>
        </w:tabs>
        <w:ind w:left="2550" w:hanging="1920"/>
      </w:pPr>
      <w:rPr>
        <w:rFonts w:hint="eastAsia"/>
        <w:b/>
      </w:rPr>
    </w:lvl>
    <w:lvl w:ilvl="1" w:tplc="FFFFFFFF" w:tentative="1">
      <w:start w:val="1"/>
      <w:numFmt w:val="lowerLetter"/>
      <w:lvlText w:val="%2)"/>
      <w:lvlJc w:val="left"/>
      <w:pPr>
        <w:tabs>
          <w:tab w:val="num" w:pos="1470"/>
        </w:tabs>
        <w:ind w:left="1470" w:hanging="420"/>
      </w:pPr>
    </w:lvl>
    <w:lvl w:ilvl="2" w:tplc="FFFFFFFF" w:tentative="1">
      <w:start w:val="1"/>
      <w:numFmt w:val="lowerRoman"/>
      <w:lvlText w:val="%3."/>
      <w:lvlJc w:val="righ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lowerLetter"/>
      <w:lvlText w:val="%5)"/>
      <w:lvlJc w:val="left"/>
      <w:pPr>
        <w:tabs>
          <w:tab w:val="num" w:pos="2730"/>
        </w:tabs>
        <w:ind w:left="2730" w:hanging="420"/>
      </w:pPr>
    </w:lvl>
    <w:lvl w:ilvl="5" w:tplc="FFFFFFFF" w:tentative="1">
      <w:start w:val="1"/>
      <w:numFmt w:val="lowerRoman"/>
      <w:lvlText w:val="%6."/>
      <w:lvlJc w:val="righ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lowerLetter"/>
      <w:lvlText w:val="%8)"/>
      <w:lvlJc w:val="left"/>
      <w:pPr>
        <w:tabs>
          <w:tab w:val="num" w:pos="3990"/>
        </w:tabs>
        <w:ind w:left="3990" w:hanging="420"/>
      </w:pPr>
    </w:lvl>
    <w:lvl w:ilvl="8" w:tplc="FFFFFFFF" w:tentative="1">
      <w:start w:val="1"/>
      <w:numFmt w:val="lowerRoman"/>
      <w:lvlText w:val="%9."/>
      <w:lvlJc w:val="right"/>
      <w:pPr>
        <w:tabs>
          <w:tab w:val="num" w:pos="4410"/>
        </w:tabs>
        <w:ind w:left="4410" w:hanging="420"/>
      </w:pPr>
    </w:lvl>
  </w:abstractNum>
  <w:abstractNum w:abstractNumId="18">
    <w:nsid w:val="50C67BAD"/>
    <w:multiLevelType w:val="hybridMultilevel"/>
    <w:tmpl w:val="E64A502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27231C0"/>
    <w:multiLevelType w:val="hybridMultilevel"/>
    <w:tmpl w:val="898AFB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48705BA"/>
    <w:multiLevelType w:val="hybridMultilevel"/>
    <w:tmpl w:val="9DEE5B0A"/>
    <w:lvl w:ilvl="0" w:tplc="FFFFFFFF">
      <w:start w:val="1"/>
      <w:numFmt w:val="japaneseCounting"/>
      <w:pStyle w:val="CharCharCharChar"/>
      <w:lvlText w:val="（%1）"/>
      <w:lvlJc w:val="left"/>
      <w:pPr>
        <w:tabs>
          <w:tab w:val="num" w:pos="1707"/>
        </w:tabs>
        <w:ind w:left="1707" w:hanging="1080"/>
      </w:pPr>
      <w:rPr>
        <w:rFonts w:hint="eastAsia"/>
      </w:rPr>
    </w:lvl>
    <w:lvl w:ilvl="1" w:tplc="FFFFFFFF" w:tentative="1">
      <w:start w:val="1"/>
      <w:numFmt w:val="lowerLetter"/>
      <w:lvlText w:val="%2)"/>
      <w:lvlJc w:val="left"/>
      <w:pPr>
        <w:tabs>
          <w:tab w:val="num" w:pos="1467"/>
        </w:tabs>
        <w:ind w:left="1467" w:hanging="420"/>
      </w:pPr>
    </w:lvl>
    <w:lvl w:ilvl="2" w:tplc="FFFFFFFF" w:tentative="1">
      <w:start w:val="1"/>
      <w:numFmt w:val="lowerRoman"/>
      <w:lvlText w:val="%3."/>
      <w:lvlJc w:val="right"/>
      <w:pPr>
        <w:tabs>
          <w:tab w:val="num" w:pos="1887"/>
        </w:tabs>
        <w:ind w:left="1887" w:hanging="420"/>
      </w:pPr>
    </w:lvl>
    <w:lvl w:ilvl="3" w:tplc="FFFFFFFF" w:tentative="1">
      <w:start w:val="1"/>
      <w:numFmt w:val="decimal"/>
      <w:lvlText w:val="%4."/>
      <w:lvlJc w:val="left"/>
      <w:pPr>
        <w:tabs>
          <w:tab w:val="num" w:pos="2307"/>
        </w:tabs>
        <w:ind w:left="2307" w:hanging="420"/>
      </w:pPr>
    </w:lvl>
    <w:lvl w:ilvl="4" w:tplc="FFFFFFFF" w:tentative="1">
      <w:start w:val="1"/>
      <w:numFmt w:val="lowerLetter"/>
      <w:lvlText w:val="%5)"/>
      <w:lvlJc w:val="left"/>
      <w:pPr>
        <w:tabs>
          <w:tab w:val="num" w:pos="2727"/>
        </w:tabs>
        <w:ind w:left="2727" w:hanging="420"/>
      </w:pPr>
    </w:lvl>
    <w:lvl w:ilvl="5" w:tplc="FFFFFFFF" w:tentative="1">
      <w:start w:val="1"/>
      <w:numFmt w:val="lowerRoman"/>
      <w:lvlText w:val="%6."/>
      <w:lvlJc w:val="right"/>
      <w:pPr>
        <w:tabs>
          <w:tab w:val="num" w:pos="3147"/>
        </w:tabs>
        <w:ind w:left="3147" w:hanging="420"/>
      </w:pPr>
    </w:lvl>
    <w:lvl w:ilvl="6" w:tplc="FFFFFFFF" w:tentative="1">
      <w:start w:val="1"/>
      <w:numFmt w:val="decimal"/>
      <w:lvlText w:val="%7."/>
      <w:lvlJc w:val="left"/>
      <w:pPr>
        <w:tabs>
          <w:tab w:val="num" w:pos="3567"/>
        </w:tabs>
        <w:ind w:left="3567" w:hanging="420"/>
      </w:pPr>
    </w:lvl>
    <w:lvl w:ilvl="7" w:tplc="FFFFFFFF" w:tentative="1">
      <w:start w:val="1"/>
      <w:numFmt w:val="lowerLetter"/>
      <w:lvlText w:val="%8)"/>
      <w:lvlJc w:val="left"/>
      <w:pPr>
        <w:tabs>
          <w:tab w:val="num" w:pos="3987"/>
        </w:tabs>
        <w:ind w:left="3987" w:hanging="420"/>
      </w:pPr>
    </w:lvl>
    <w:lvl w:ilvl="8" w:tplc="FFFFFFFF" w:tentative="1">
      <w:start w:val="1"/>
      <w:numFmt w:val="lowerRoman"/>
      <w:lvlText w:val="%9."/>
      <w:lvlJc w:val="right"/>
      <w:pPr>
        <w:tabs>
          <w:tab w:val="num" w:pos="4407"/>
        </w:tabs>
        <w:ind w:left="4407" w:hanging="420"/>
      </w:pPr>
    </w:lvl>
  </w:abstractNum>
  <w:abstractNum w:abstractNumId="21">
    <w:nsid w:val="58A14E29"/>
    <w:multiLevelType w:val="hybridMultilevel"/>
    <w:tmpl w:val="90FED42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5D3E5E21"/>
    <w:multiLevelType w:val="hybridMultilevel"/>
    <w:tmpl w:val="C308BAD0"/>
    <w:lvl w:ilvl="0" w:tplc="0B4CDBB2">
      <w:start w:val="1"/>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3">
    <w:nsid w:val="6BF14DC2"/>
    <w:multiLevelType w:val="hybridMultilevel"/>
    <w:tmpl w:val="980C880C"/>
    <w:lvl w:ilvl="0" w:tplc="237E25EE">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4">
    <w:nsid w:val="6E2B4329"/>
    <w:multiLevelType w:val="hybridMultilevel"/>
    <w:tmpl w:val="329E6794"/>
    <w:lvl w:ilvl="0" w:tplc="761EEF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22D6DAA"/>
    <w:multiLevelType w:val="hybridMultilevel"/>
    <w:tmpl w:val="C24EAEB0"/>
    <w:lvl w:ilvl="0" w:tplc="6A64180C">
      <w:start w:val="2"/>
      <w:numFmt w:val="decimal"/>
      <w:lvlText w:val="%1、"/>
      <w:lvlJc w:val="left"/>
      <w:pPr>
        <w:tabs>
          <w:tab w:val="num" w:pos="1470"/>
        </w:tabs>
        <w:ind w:left="1470" w:hanging="720"/>
      </w:pPr>
      <w:rPr>
        <w:rFonts w:ascii="仿宋_GB2312" w:eastAsia="仿宋_GB2312" w:hint="default"/>
      </w:rPr>
    </w:lvl>
    <w:lvl w:ilvl="1" w:tplc="04090019" w:tentative="1">
      <w:start w:val="1"/>
      <w:numFmt w:val="lowerLetter"/>
      <w:lvlText w:val="%2)"/>
      <w:lvlJc w:val="left"/>
      <w:pPr>
        <w:tabs>
          <w:tab w:val="num" w:pos="1590"/>
        </w:tabs>
        <w:ind w:left="1590" w:hanging="420"/>
      </w:pPr>
    </w:lvl>
    <w:lvl w:ilvl="2" w:tplc="0409001B" w:tentative="1">
      <w:start w:val="1"/>
      <w:numFmt w:val="lowerRoman"/>
      <w:lvlText w:val="%3."/>
      <w:lvlJc w:val="righ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9" w:tentative="1">
      <w:start w:val="1"/>
      <w:numFmt w:val="lowerLetter"/>
      <w:lvlText w:val="%5)"/>
      <w:lvlJc w:val="left"/>
      <w:pPr>
        <w:tabs>
          <w:tab w:val="num" w:pos="2850"/>
        </w:tabs>
        <w:ind w:left="2850" w:hanging="420"/>
      </w:pPr>
    </w:lvl>
    <w:lvl w:ilvl="5" w:tplc="0409001B" w:tentative="1">
      <w:start w:val="1"/>
      <w:numFmt w:val="lowerRoman"/>
      <w:lvlText w:val="%6."/>
      <w:lvlJc w:val="righ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9" w:tentative="1">
      <w:start w:val="1"/>
      <w:numFmt w:val="lowerLetter"/>
      <w:lvlText w:val="%8)"/>
      <w:lvlJc w:val="left"/>
      <w:pPr>
        <w:tabs>
          <w:tab w:val="num" w:pos="4110"/>
        </w:tabs>
        <w:ind w:left="4110" w:hanging="420"/>
      </w:pPr>
    </w:lvl>
    <w:lvl w:ilvl="8" w:tplc="0409001B" w:tentative="1">
      <w:start w:val="1"/>
      <w:numFmt w:val="lowerRoman"/>
      <w:lvlText w:val="%9."/>
      <w:lvlJc w:val="right"/>
      <w:pPr>
        <w:tabs>
          <w:tab w:val="num" w:pos="4530"/>
        </w:tabs>
        <w:ind w:left="4530" w:hanging="420"/>
      </w:pPr>
    </w:lvl>
  </w:abstractNum>
  <w:abstractNum w:abstractNumId="26">
    <w:nsid w:val="765A1F94"/>
    <w:multiLevelType w:val="hybridMultilevel"/>
    <w:tmpl w:val="69D47C9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4B47E5"/>
    <w:multiLevelType w:val="hybridMultilevel"/>
    <w:tmpl w:val="AB4E624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7CE243E7"/>
    <w:multiLevelType w:val="hybridMultilevel"/>
    <w:tmpl w:val="6A0E0F1A"/>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7F5B1979"/>
    <w:multiLevelType w:val="hybridMultilevel"/>
    <w:tmpl w:val="C72A3B2E"/>
    <w:lvl w:ilvl="0" w:tplc="5ECC3796">
      <w:start w:val="1"/>
      <w:numFmt w:val="decimal"/>
      <w:lvlText w:val="%1、"/>
      <w:lvlJc w:val="left"/>
      <w:pPr>
        <w:tabs>
          <w:tab w:val="num" w:pos="1843"/>
        </w:tabs>
        <w:ind w:left="1843" w:hanging="1155"/>
      </w:pPr>
      <w:rPr>
        <w:rFonts w:hint="eastAsia"/>
      </w:rPr>
    </w:lvl>
    <w:lvl w:ilvl="1" w:tplc="04090019" w:tentative="1">
      <w:start w:val="1"/>
      <w:numFmt w:val="lowerLetter"/>
      <w:lvlText w:val="%2)"/>
      <w:lvlJc w:val="left"/>
      <w:pPr>
        <w:tabs>
          <w:tab w:val="num" w:pos="1528"/>
        </w:tabs>
        <w:ind w:left="1528" w:hanging="420"/>
      </w:pPr>
    </w:lvl>
    <w:lvl w:ilvl="2" w:tplc="0409001B" w:tentative="1">
      <w:start w:val="1"/>
      <w:numFmt w:val="lowerRoman"/>
      <w:lvlText w:val="%3."/>
      <w:lvlJc w:val="righ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9" w:tentative="1">
      <w:start w:val="1"/>
      <w:numFmt w:val="lowerLetter"/>
      <w:lvlText w:val="%5)"/>
      <w:lvlJc w:val="left"/>
      <w:pPr>
        <w:tabs>
          <w:tab w:val="num" w:pos="2788"/>
        </w:tabs>
        <w:ind w:left="2788" w:hanging="420"/>
      </w:pPr>
    </w:lvl>
    <w:lvl w:ilvl="5" w:tplc="0409001B" w:tentative="1">
      <w:start w:val="1"/>
      <w:numFmt w:val="lowerRoman"/>
      <w:lvlText w:val="%6."/>
      <w:lvlJc w:val="righ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9" w:tentative="1">
      <w:start w:val="1"/>
      <w:numFmt w:val="lowerLetter"/>
      <w:lvlText w:val="%8)"/>
      <w:lvlJc w:val="left"/>
      <w:pPr>
        <w:tabs>
          <w:tab w:val="num" w:pos="4048"/>
        </w:tabs>
        <w:ind w:left="4048" w:hanging="420"/>
      </w:pPr>
    </w:lvl>
    <w:lvl w:ilvl="8" w:tplc="0409001B" w:tentative="1">
      <w:start w:val="1"/>
      <w:numFmt w:val="lowerRoman"/>
      <w:lvlText w:val="%9."/>
      <w:lvlJc w:val="right"/>
      <w:pPr>
        <w:tabs>
          <w:tab w:val="num" w:pos="4468"/>
        </w:tabs>
        <w:ind w:left="4468" w:hanging="420"/>
      </w:pPr>
    </w:lvl>
  </w:abstractNum>
  <w:num w:numId="1">
    <w:abstractNumId w:val="20"/>
  </w:num>
  <w:num w:numId="2">
    <w:abstractNumId w:val="17"/>
  </w:num>
  <w:num w:numId="3">
    <w:abstractNumId w:val="29"/>
  </w:num>
  <w:num w:numId="4">
    <w:abstractNumId w:val="2"/>
  </w:num>
  <w:num w:numId="5">
    <w:abstractNumId w:val="14"/>
  </w:num>
  <w:num w:numId="6">
    <w:abstractNumId w:val="10"/>
  </w:num>
  <w:num w:numId="7">
    <w:abstractNumId w:val="28"/>
  </w:num>
  <w:num w:numId="8">
    <w:abstractNumId w:val="21"/>
  </w:num>
  <w:num w:numId="9">
    <w:abstractNumId w:val="18"/>
  </w:num>
  <w:num w:numId="10">
    <w:abstractNumId w:val="26"/>
  </w:num>
  <w:num w:numId="11">
    <w:abstractNumId w:val="27"/>
  </w:num>
  <w:num w:numId="12">
    <w:abstractNumId w:val="19"/>
  </w:num>
  <w:num w:numId="13">
    <w:abstractNumId w:val="4"/>
  </w:num>
  <w:num w:numId="14">
    <w:abstractNumId w:val="22"/>
  </w:num>
  <w:num w:numId="15">
    <w:abstractNumId w:val="11"/>
  </w:num>
  <w:num w:numId="16">
    <w:abstractNumId w:val="8"/>
  </w:num>
  <w:num w:numId="17">
    <w:abstractNumId w:val="5"/>
  </w:num>
  <w:num w:numId="18">
    <w:abstractNumId w:val="16"/>
  </w:num>
  <w:num w:numId="19">
    <w:abstractNumId w:val="1"/>
  </w:num>
  <w:num w:numId="20">
    <w:abstractNumId w:val="15"/>
  </w:num>
  <w:num w:numId="21">
    <w:abstractNumId w:val="12"/>
  </w:num>
  <w:num w:numId="22">
    <w:abstractNumId w:val="25"/>
  </w:num>
  <w:num w:numId="23">
    <w:abstractNumId w:val="24"/>
  </w:num>
  <w:num w:numId="24">
    <w:abstractNumId w:val="3"/>
  </w:num>
  <w:num w:numId="25">
    <w:abstractNumId w:val="13"/>
  </w:num>
  <w:num w:numId="26">
    <w:abstractNumId w:val="6"/>
  </w:num>
  <w:num w:numId="27">
    <w:abstractNumId w:val="9"/>
  </w:num>
  <w:num w:numId="28">
    <w:abstractNumId w:val="0"/>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zh-CN"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420"/>
  <w:evenAndOddHeaders/>
  <w:drawingGridHorizontalSpacing w:val="158"/>
  <w:drawingGridVerticalSpacing w:val="29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AA"/>
    <w:rsid w:val="000011EB"/>
    <w:rsid w:val="00004058"/>
    <w:rsid w:val="000043A3"/>
    <w:rsid w:val="00010BCB"/>
    <w:rsid w:val="00011BD7"/>
    <w:rsid w:val="000549B5"/>
    <w:rsid w:val="000721E4"/>
    <w:rsid w:val="0007710A"/>
    <w:rsid w:val="00077BA6"/>
    <w:rsid w:val="00094AB6"/>
    <w:rsid w:val="000A198D"/>
    <w:rsid w:val="000A551C"/>
    <w:rsid w:val="000B0BA9"/>
    <w:rsid w:val="000B3FB9"/>
    <w:rsid w:val="000B5C8D"/>
    <w:rsid w:val="000B756E"/>
    <w:rsid w:val="000C6819"/>
    <w:rsid w:val="000D0B49"/>
    <w:rsid w:val="00104C6F"/>
    <w:rsid w:val="00116805"/>
    <w:rsid w:val="00117539"/>
    <w:rsid w:val="001279A8"/>
    <w:rsid w:val="0015474D"/>
    <w:rsid w:val="001649D8"/>
    <w:rsid w:val="001671E5"/>
    <w:rsid w:val="00171838"/>
    <w:rsid w:val="001851DF"/>
    <w:rsid w:val="00193FB2"/>
    <w:rsid w:val="00197E1B"/>
    <w:rsid w:val="001A447F"/>
    <w:rsid w:val="001B11DF"/>
    <w:rsid w:val="001C735F"/>
    <w:rsid w:val="001D2487"/>
    <w:rsid w:val="001D3A09"/>
    <w:rsid w:val="001F2847"/>
    <w:rsid w:val="00200649"/>
    <w:rsid w:val="00201C66"/>
    <w:rsid w:val="00201CDF"/>
    <w:rsid w:val="00215A72"/>
    <w:rsid w:val="00224F20"/>
    <w:rsid w:val="00250057"/>
    <w:rsid w:val="0025247C"/>
    <w:rsid w:val="00256EA2"/>
    <w:rsid w:val="002663BF"/>
    <w:rsid w:val="002A5224"/>
    <w:rsid w:val="002B1523"/>
    <w:rsid w:val="002B6B7D"/>
    <w:rsid w:val="002C3722"/>
    <w:rsid w:val="002C5D4A"/>
    <w:rsid w:val="002E547F"/>
    <w:rsid w:val="003032F5"/>
    <w:rsid w:val="003037D6"/>
    <w:rsid w:val="003048FF"/>
    <w:rsid w:val="0030655D"/>
    <w:rsid w:val="00330727"/>
    <w:rsid w:val="00330E10"/>
    <w:rsid w:val="003353D4"/>
    <w:rsid w:val="003465D2"/>
    <w:rsid w:val="003531D0"/>
    <w:rsid w:val="00357934"/>
    <w:rsid w:val="0036428B"/>
    <w:rsid w:val="0037035F"/>
    <w:rsid w:val="00376849"/>
    <w:rsid w:val="00394B27"/>
    <w:rsid w:val="003A1F1C"/>
    <w:rsid w:val="003A6744"/>
    <w:rsid w:val="003B5CB5"/>
    <w:rsid w:val="003E2197"/>
    <w:rsid w:val="003E69FE"/>
    <w:rsid w:val="003F2696"/>
    <w:rsid w:val="003F467B"/>
    <w:rsid w:val="0042038A"/>
    <w:rsid w:val="0045754D"/>
    <w:rsid w:val="004642BD"/>
    <w:rsid w:val="00464303"/>
    <w:rsid w:val="00466A64"/>
    <w:rsid w:val="0047105E"/>
    <w:rsid w:val="0048374C"/>
    <w:rsid w:val="004B05B9"/>
    <w:rsid w:val="004B06ED"/>
    <w:rsid w:val="004B1B57"/>
    <w:rsid w:val="004B60EE"/>
    <w:rsid w:val="004C34AB"/>
    <w:rsid w:val="004E1506"/>
    <w:rsid w:val="004F3A9F"/>
    <w:rsid w:val="0050326D"/>
    <w:rsid w:val="00521CF2"/>
    <w:rsid w:val="00555439"/>
    <w:rsid w:val="00586F5E"/>
    <w:rsid w:val="00592B35"/>
    <w:rsid w:val="00597563"/>
    <w:rsid w:val="00597CB2"/>
    <w:rsid w:val="005A4BDA"/>
    <w:rsid w:val="005C14B3"/>
    <w:rsid w:val="005C63E4"/>
    <w:rsid w:val="005D0C3C"/>
    <w:rsid w:val="005D27D3"/>
    <w:rsid w:val="005E2F40"/>
    <w:rsid w:val="00620C4B"/>
    <w:rsid w:val="00624858"/>
    <w:rsid w:val="00637F92"/>
    <w:rsid w:val="00641647"/>
    <w:rsid w:val="00646F92"/>
    <w:rsid w:val="00650663"/>
    <w:rsid w:val="006527D3"/>
    <w:rsid w:val="0065433A"/>
    <w:rsid w:val="00656CE8"/>
    <w:rsid w:val="00665F3E"/>
    <w:rsid w:val="00680B41"/>
    <w:rsid w:val="0068332A"/>
    <w:rsid w:val="006A3A31"/>
    <w:rsid w:val="006A4982"/>
    <w:rsid w:val="006D05E4"/>
    <w:rsid w:val="006D1B9A"/>
    <w:rsid w:val="006D783B"/>
    <w:rsid w:val="006E536F"/>
    <w:rsid w:val="00725292"/>
    <w:rsid w:val="00726445"/>
    <w:rsid w:val="0073219F"/>
    <w:rsid w:val="0073568F"/>
    <w:rsid w:val="00761204"/>
    <w:rsid w:val="00783836"/>
    <w:rsid w:val="00784467"/>
    <w:rsid w:val="00784ADD"/>
    <w:rsid w:val="00795F68"/>
    <w:rsid w:val="007A49C7"/>
    <w:rsid w:val="007B1B9E"/>
    <w:rsid w:val="007B2127"/>
    <w:rsid w:val="007D43D7"/>
    <w:rsid w:val="007D6CEA"/>
    <w:rsid w:val="007E1275"/>
    <w:rsid w:val="007E4CBE"/>
    <w:rsid w:val="007E6112"/>
    <w:rsid w:val="00806074"/>
    <w:rsid w:val="008119AF"/>
    <w:rsid w:val="00827D15"/>
    <w:rsid w:val="00835B83"/>
    <w:rsid w:val="00855BB7"/>
    <w:rsid w:val="008676C9"/>
    <w:rsid w:val="00873A72"/>
    <w:rsid w:val="008A648D"/>
    <w:rsid w:val="008B73AA"/>
    <w:rsid w:val="008D3F64"/>
    <w:rsid w:val="008E4578"/>
    <w:rsid w:val="008E790D"/>
    <w:rsid w:val="008F6E6C"/>
    <w:rsid w:val="00910F69"/>
    <w:rsid w:val="00921488"/>
    <w:rsid w:val="0092699C"/>
    <w:rsid w:val="00927CE7"/>
    <w:rsid w:val="009343F0"/>
    <w:rsid w:val="00943333"/>
    <w:rsid w:val="00963CF0"/>
    <w:rsid w:val="009860ED"/>
    <w:rsid w:val="00990745"/>
    <w:rsid w:val="00996ACB"/>
    <w:rsid w:val="009A12FE"/>
    <w:rsid w:val="009A4006"/>
    <w:rsid w:val="009A7AE1"/>
    <w:rsid w:val="009B3336"/>
    <w:rsid w:val="009C13B5"/>
    <w:rsid w:val="009C3117"/>
    <w:rsid w:val="009C4AB4"/>
    <w:rsid w:val="009E21FC"/>
    <w:rsid w:val="009F1085"/>
    <w:rsid w:val="009F49B3"/>
    <w:rsid w:val="00A2118F"/>
    <w:rsid w:val="00A2228C"/>
    <w:rsid w:val="00A42D5E"/>
    <w:rsid w:val="00A56AA0"/>
    <w:rsid w:val="00A619E3"/>
    <w:rsid w:val="00A64A26"/>
    <w:rsid w:val="00A66763"/>
    <w:rsid w:val="00A83409"/>
    <w:rsid w:val="00A84695"/>
    <w:rsid w:val="00A94790"/>
    <w:rsid w:val="00AB141C"/>
    <w:rsid w:val="00AB439C"/>
    <w:rsid w:val="00AB4D6F"/>
    <w:rsid w:val="00AB7B57"/>
    <w:rsid w:val="00AC2516"/>
    <w:rsid w:val="00AC2BA9"/>
    <w:rsid w:val="00AD2D17"/>
    <w:rsid w:val="00AE2491"/>
    <w:rsid w:val="00AE42A9"/>
    <w:rsid w:val="00B02548"/>
    <w:rsid w:val="00B076B8"/>
    <w:rsid w:val="00B1546A"/>
    <w:rsid w:val="00B21DF0"/>
    <w:rsid w:val="00B3440F"/>
    <w:rsid w:val="00B37125"/>
    <w:rsid w:val="00B41AB5"/>
    <w:rsid w:val="00B41E2F"/>
    <w:rsid w:val="00B41EE6"/>
    <w:rsid w:val="00B44001"/>
    <w:rsid w:val="00B5216C"/>
    <w:rsid w:val="00B87BD0"/>
    <w:rsid w:val="00B963B3"/>
    <w:rsid w:val="00BB4307"/>
    <w:rsid w:val="00BB471B"/>
    <w:rsid w:val="00BF0878"/>
    <w:rsid w:val="00BF0BB7"/>
    <w:rsid w:val="00BF267A"/>
    <w:rsid w:val="00C03F02"/>
    <w:rsid w:val="00C113ED"/>
    <w:rsid w:val="00C21997"/>
    <w:rsid w:val="00C25B30"/>
    <w:rsid w:val="00C276C5"/>
    <w:rsid w:val="00C27E35"/>
    <w:rsid w:val="00C32AD3"/>
    <w:rsid w:val="00C334E9"/>
    <w:rsid w:val="00C428FC"/>
    <w:rsid w:val="00C50EE0"/>
    <w:rsid w:val="00C60702"/>
    <w:rsid w:val="00C6608E"/>
    <w:rsid w:val="00C864ED"/>
    <w:rsid w:val="00C96C5E"/>
    <w:rsid w:val="00CA4178"/>
    <w:rsid w:val="00CA48EA"/>
    <w:rsid w:val="00CA5EDA"/>
    <w:rsid w:val="00CB0360"/>
    <w:rsid w:val="00CB113F"/>
    <w:rsid w:val="00CC2BA8"/>
    <w:rsid w:val="00CC2F65"/>
    <w:rsid w:val="00CC4F47"/>
    <w:rsid w:val="00CC5C33"/>
    <w:rsid w:val="00CF4F1D"/>
    <w:rsid w:val="00D11FCE"/>
    <w:rsid w:val="00D167E1"/>
    <w:rsid w:val="00D21BB9"/>
    <w:rsid w:val="00D21FD5"/>
    <w:rsid w:val="00D30E41"/>
    <w:rsid w:val="00D42322"/>
    <w:rsid w:val="00D504F3"/>
    <w:rsid w:val="00D51B84"/>
    <w:rsid w:val="00D73604"/>
    <w:rsid w:val="00D82355"/>
    <w:rsid w:val="00D96F85"/>
    <w:rsid w:val="00DA3A80"/>
    <w:rsid w:val="00DD0655"/>
    <w:rsid w:val="00DD0E1E"/>
    <w:rsid w:val="00DD5DA6"/>
    <w:rsid w:val="00DE0DCA"/>
    <w:rsid w:val="00DE3428"/>
    <w:rsid w:val="00E01BC5"/>
    <w:rsid w:val="00E123FC"/>
    <w:rsid w:val="00E16B61"/>
    <w:rsid w:val="00E22258"/>
    <w:rsid w:val="00E30BDA"/>
    <w:rsid w:val="00E40EE9"/>
    <w:rsid w:val="00E44EC2"/>
    <w:rsid w:val="00E47684"/>
    <w:rsid w:val="00E5194D"/>
    <w:rsid w:val="00E6136C"/>
    <w:rsid w:val="00E8265A"/>
    <w:rsid w:val="00E86047"/>
    <w:rsid w:val="00E9418F"/>
    <w:rsid w:val="00EB25AA"/>
    <w:rsid w:val="00EB3EEE"/>
    <w:rsid w:val="00ED4CE6"/>
    <w:rsid w:val="00F006A0"/>
    <w:rsid w:val="00F01808"/>
    <w:rsid w:val="00F04A92"/>
    <w:rsid w:val="00F3482B"/>
    <w:rsid w:val="00F446CF"/>
    <w:rsid w:val="00F5791D"/>
    <w:rsid w:val="00F62BE2"/>
    <w:rsid w:val="00F63707"/>
    <w:rsid w:val="00F65B97"/>
    <w:rsid w:val="00F67A50"/>
    <w:rsid w:val="00F765E5"/>
    <w:rsid w:val="00F80252"/>
    <w:rsid w:val="00F8118A"/>
    <w:rsid w:val="00F9021A"/>
    <w:rsid w:val="00FB3B25"/>
    <w:rsid w:val="00FB5D05"/>
    <w:rsid w:val="00FC28A0"/>
    <w:rsid w:val="00FD25F5"/>
    <w:rsid w:val="00FD5971"/>
    <w:rsid w:val="00FE6084"/>
    <w:rsid w:val="00FF22B2"/>
    <w:rsid w:val="00FF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0F"/>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rPr>
  </w:style>
  <w:style w:type="paragraph" w:styleId="3">
    <w:name w:val="Body Text Indent 3"/>
    <w:basedOn w:val="a"/>
    <w:semiHidden/>
    <w:pPr>
      <w:adjustRightInd w:val="0"/>
      <w:snapToGrid w:val="0"/>
      <w:spacing w:line="520" w:lineRule="atLeast"/>
      <w:ind w:firstLineChars="200" w:firstLine="640"/>
    </w:pPr>
    <w:rPr>
      <w:rFonts w:ascii="黑体" w:eastAsia="黑体"/>
    </w:rPr>
  </w:style>
  <w:style w:type="paragraph" w:styleId="a8">
    <w:name w:val="Normal (Web)"/>
    <w:basedOn w:val="a"/>
    <w:pPr>
      <w:widowControl/>
      <w:spacing w:before="100" w:beforeAutospacing="1" w:after="100" w:afterAutospacing="1"/>
      <w:jc w:val="left"/>
    </w:pPr>
    <w:rPr>
      <w:rFonts w:ascii="宋体" w:eastAsia="宋体" w:hAnsi="宋体"/>
      <w:sz w:val="21"/>
      <w:szCs w:val="21"/>
    </w:rPr>
  </w:style>
  <w:style w:type="character" w:styleId="a9">
    <w:name w:val="Strong"/>
    <w:basedOn w:val="a0"/>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semiHidden/>
    <w:rPr>
      <w:rFonts w:eastAsia="宋体"/>
      <w:sz w:val="18"/>
      <w:szCs w:val="18"/>
    </w:rPr>
  </w:style>
  <w:style w:type="character" w:customStyle="1" w:styleId="richtextmngstyle1">
    <w:name w:val="richtextmngstyle1"/>
    <w:basedOn w:val="a0"/>
    <w:rPr>
      <w:strike w:val="0"/>
      <w:dstrike w:val="0"/>
      <w:color w:val="000000"/>
      <w:spacing w:val="20"/>
      <w:sz w:val="28"/>
      <w:szCs w:val="28"/>
      <w:u w:val="none"/>
      <w:effect w:val="none"/>
    </w:rPr>
  </w:style>
  <w:style w:type="character" w:customStyle="1" w:styleId="unnamed21">
    <w:name w:val="unnamed21"/>
    <w:basedOn w:val="a0"/>
    <w:rPr>
      <w:strike w:val="0"/>
      <w:dstrike w:val="0"/>
      <w:sz w:val="24"/>
      <w:szCs w:val="24"/>
      <w:u w:val="none"/>
      <w:effect w:val="none"/>
    </w:rPr>
  </w:style>
  <w:style w:type="character" w:customStyle="1" w:styleId="10p1">
    <w:name w:val="10p1"/>
    <w:basedOn w:val="a0"/>
    <w:rPr>
      <w:sz w:val="21"/>
      <w:szCs w:val="21"/>
    </w:rPr>
  </w:style>
  <w:style w:type="paragraph" w:styleId="30">
    <w:name w:val="Body Text 3"/>
    <w:basedOn w:val="a"/>
    <w:semiHidden/>
    <w:pPr>
      <w:spacing w:line="560" w:lineRule="atLeast"/>
      <w:ind w:rightChars="-259" w:right="-544"/>
    </w:pPr>
    <w:rPr>
      <w:rFonts w:ascii="黑体" w:eastAsia="黑体"/>
      <w:sz w:val="24"/>
    </w:rPr>
  </w:style>
  <w:style w:type="paragraph" w:styleId="ab">
    <w:name w:val="Body Text"/>
    <w:basedOn w:val="a"/>
    <w:semiHidden/>
    <w:pPr>
      <w:adjustRightInd w:val="0"/>
      <w:snapToGrid w:val="0"/>
      <w:spacing w:line="480" w:lineRule="auto"/>
      <w:ind w:rightChars="310" w:right="706"/>
      <w:jc w:val="center"/>
    </w:pPr>
    <w:rPr>
      <w:rFonts w:ascii="宋体" w:eastAsia="宋体"/>
      <w:sz w:val="44"/>
      <w:szCs w:val="44"/>
    </w:rPr>
  </w:style>
  <w:style w:type="paragraph" w:styleId="20">
    <w:name w:val="Body Text 2"/>
    <w:basedOn w:val="a"/>
    <w:semiHidden/>
    <w:pPr>
      <w:spacing w:line="580" w:lineRule="exact"/>
      <w:jc w:val="center"/>
    </w:pPr>
    <w:rPr>
      <w:rFonts w:eastAsia="方正小标宋简体"/>
      <w:sz w:val="44"/>
    </w:rPr>
  </w:style>
  <w:style w:type="paragraph" w:customStyle="1" w:styleId="31">
    <w:name w:val="标题3"/>
    <w:basedOn w:val="a"/>
    <w:next w:val="a"/>
    <w:pPr>
      <w:autoSpaceDE w:val="0"/>
      <w:autoSpaceDN w:val="0"/>
      <w:snapToGrid w:val="0"/>
      <w:spacing w:line="590" w:lineRule="atLeast"/>
      <w:ind w:firstLine="624"/>
    </w:pPr>
    <w:rPr>
      <w:rFonts w:ascii="方正黑体_GBK" w:eastAsia="方正黑体_GBK"/>
      <w:snapToGrid w:val="0"/>
      <w:szCs w:val="20"/>
    </w:rPr>
  </w:style>
  <w:style w:type="paragraph" w:styleId="ac">
    <w:name w:val="Plain Text"/>
    <w:basedOn w:val="a"/>
    <w:rPr>
      <w:rFonts w:ascii="宋体" w:eastAsia="宋体" w:hAnsi="Courier New"/>
      <w:sz w:val="21"/>
      <w:szCs w:val="20"/>
    </w:rPr>
  </w:style>
  <w:style w:type="character" w:customStyle="1" w:styleId="Char0">
    <w:name w:val="纯文本 Char"/>
    <w:basedOn w:val="a0"/>
    <w:rPr>
      <w:rFonts w:ascii="宋体" w:hAnsi="Courier New"/>
      <w:kern w:val="2"/>
      <w:sz w:val="21"/>
    </w:rPr>
  </w:style>
  <w:style w:type="character" w:customStyle="1" w:styleId="p91">
    <w:name w:val="p91"/>
    <w:basedOn w:val="a0"/>
    <w:rPr>
      <w:b w:val="0"/>
      <w:bCs w:val="0"/>
      <w:strike w:val="0"/>
      <w:dstrike w:val="0"/>
      <w:color w:val="000000"/>
      <w:sz w:val="18"/>
      <w:szCs w:val="18"/>
      <w:u w:val="none"/>
      <w:effect w:val="none"/>
    </w:rPr>
  </w:style>
  <w:style w:type="paragraph" w:customStyle="1" w:styleId="CharCharCharChar">
    <w:name w:val="Char Char Char Char"/>
    <w:basedOn w:val="a"/>
    <w:autoRedefine/>
    <w:rsid w:val="00E16B61"/>
    <w:pPr>
      <w:numPr>
        <w:numId w:val="1"/>
      </w:numPr>
    </w:pPr>
    <w:rPr>
      <w:rFonts w:eastAsia="宋体"/>
      <w:sz w:val="24"/>
    </w:rPr>
  </w:style>
  <w:style w:type="paragraph" w:customStyle="1" w:styleId="Char2CharCharChar">
    <w:name w:val="Char2 Char Char Char"/>
    <w:basedOn w:val="a"/>
    <w:rsid w:val="0065433A"/>
    <w:rPr>
      <w:rFonts w:ascii="Tahoma" w:eastAsia="宋体" w:hAnsi="Tahoma"/>
      <w:sz w:val="24"/>
      <w:szCs w:val="20"/>
    </w:rPr>
  </w:style>
  <w:style w:type="paragraph" w:customStyle="1" w:styleId="Char1">
    <w:name w:val="Char1"/>
    <w:basedOn w:val="a"/>
    <w:rsid w:val="0047105E"/>
    <w:rPr>
      <w:rFonts w:eastAsia="宋体"/>
      <w:sz w:val="21"/>
    </w:rPr>
  </w:style>
  <w:style w:type="character" w:customStyle="1" w:styleId="Char">
    <w:name w:val="页眉 Char"/>
    <w:basedOn w:val="a0"/>
    <w:link w:val="a5"/>
    <w:rsid w:val="0047105E"/>
    <w:rPr>
      <w:rFonts w:eastAsia="文鼎CS仿宋体"/>
      <w:spacing w:val="-4"/>
      <w:kern w:val="2"/>
      <w:sz w:val="18"/>
      <w:szCs w:val="18"/>
    </w:rPr>
  </w:style>
  <w:style w:type="paragraph" w:customStyle="1" w:styleId="Web">
    <w:name w:val="普通 (Web)"/>
    <w:basedOn w:val="a"/>
    <w:rsid w:val="00CC5C33"/>
    <w:pPr>
      <w:widowControl/>
      <w:spacing w:before="100" w:beforeAutospacing="1" w:after="100" w:afterAutospacing="1"/>
      <w:jc w:val="left"/>
    </w:pPr>
    <w:rPr>
      <w:rFonts w:ascii="宋体" w:eastAsia="宋体" w:hAnsi="宋体"/>
      <w:sz w:val="24"/>
    </w:rPr>
  </w:style>
  <w:style w:type="table" w:styleId="ad">
    <w:name w:val="Table Grid"/>
    <w:basedOn w:val="a1"/>
    <w:uiPriority w:val="59"/>
    <w:rsid w:val="00AE2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标题1"/>
    <w:basedOn w:val="a"/>
    <w:next w:val="a"/>
    <w:rsid w:val="00171838"/>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CharCharCharCharCharCharChar">
    <w:name w:val="Char Char Char Char Char Char Char"/>
    <w:basedOn w:val="a"/>
    <w:rsid w:val="00C21997"/>
    <w:pPr>
      <w:widowControl/>
      <w:spacing w:after="160" w:line="240" w:lineRule="exact"/>
      <w:jc w:val="left"/>
    </w:pPr>
    <w:rPr>
      <w:rFonts w:eastAsia="宋体"/>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40F"/>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ody Text Indent"/>
    <w:basedOn w:val="a"/>
    <w:pPr>
      <w:spacing w:line="580" w:lineRule="exact"/>
      <w:ind w:firstLineChars="200" w:firstLine="624"/>
    </w:pPr>
  </w:style>
  <w:style w:type="paragraph" w:styleId="a7">
    <w:name w:val="Date"/>
    <w:basedOn w:val="a"/>
    <w:next w:val="a"/>
    <w:pPr>
      <w:adjustRightInd w:val="0"/>
      <w:spacing w:line="312" w:lineRule="atLeast"/>
      <w:jc w:val="right"/>
      <w:textAlignment w:val="baseline"/>
    </w:pPr>
    <w:rPr>
      <w:rFonts w:eastAsia="宋体"/>
      <w:sz w:val="21"/>
      <w:szCs w:val="20"/>
    </w:rPr>
  </w:style>
  <w:style w:type="paragraph" w:styleId="2">
    <w:name w:val="Body Text Indent 2"/>
    <w:basedOn w:val="a"/>
    <w:semiHidden/>
    <w:pPr>
      <w:pBdr>
        <w:top w:val="single" w:sz="6" w:space="0" w:color="auto"/>
        <w:bottom w:val="single" w:sz="6" w:space="1" w:color="auto"/>
      </w:pBdr>
      <w:spacing w:line="554" w:lineRule="exact"/>
      <w:ind w:firstLineChars="100" w:firstLine="312"/>
    </w:pPr>
    <w:rPr>
      <w:rFonts w:ascii="仿宋_GB2312"/>
    </w:rPr>
  </w:style>
  <w:style w:type="paragraph" w:styleId="3">
    <w:name w:val="Body Text Indent 3"/>
    <w:basedOn w:val="a"/>
    <w:semiHidden/>
    <w:pPr>
      <w:adjustRightInd w:val="0"/>
      <w:snapToGrid w:val="0"/>
      <w:spacing w:line="520" w:lineRule="atLeast"/>
      <w:ind w:firstLineChars="200" w:firstLine="640"/>
    </w:pPr>
    <w:rPr>
      <w:rFonts w:ascii="黑体" w:eastAsia="黑体"/>
    </w:rPr>
  </w:style>
  <w:style w:type="paragraph" w:styleId="a8">
    <w:name w:val="Normal (Web)"/>
    <w:basedOn w:val="a"/>
    <w:pPr>
      <w:widowControl/>
      <w:spacing w:before="100" w:beforeAutospacing="1" w:after="100" w:afterAutospacing="1"/>
      <w:jc w:val="left"/>
    </w:pPr>
    <w:rPr>
      <w:rFonts w:ascii="宋体" w:eastAsia="宋体" w:hAnsi="宋体"/>
      <w:sz w:val="21"/>
      <w:szCs w:val="21"/>
    </w:rPr>
  </w:style>
  <w:style w:type="character" w:styleId="a9">
    <w:name w:val="Strong"/>
    <w:basedOn w:val="a0"/>
    <w:qFormat/>
    <w:rPr>
      <w:rFonts w:ascii="Times New Roman" w:eastAsia="宋体"/>
      <w:b/>
      <w:i w:val="0"/>
      <w:strike w:val="0"/>
      <w:dstrike w:val="0"/>
      <w:noProof w:val="0"/>
      <w:color w:val="000000"/>
      <w:spacing w:val="0"/>
      <w:w w:val="100"/>
      <w:sz w:val="21"/>
      <w:u w:val="none" w:color="000000"/>
      <w:vertAlign w:val="baseline"/>
      <w:lang w:val="en-US" w:eastAsia="zh-CN"/>
    </w:rPr>
  </w:style>
  <w:style w:type="paragraph" w:styleId="aa">
    <w:name w:val="Balloon Text"/>
    <w:basedOn w:val="a"/>
    <w:semiHidden/>
    <w:rPr>
      <w:rFonts w:eastAsia="宋体"/>
      <w:sz w:val="18"/>
      <w:szCs w:val="18"/>
    </w:rPr>
  </w:style>
  <w:style w:type="character" w:customStyle="1" w:styleId="richtextmngstyle1">
    <w:name w:val="richtextmngstyle1"/>
    <w:basedOn w:val="a0"/>
    <w:rPr>
      <w:strike w:val="0"/>
      <w:dstrike w:val="0"/>
      <w:color w:val="000000"/>
      <w:spacing w:val="20"/>
      <w:sz w:val="28"/>
      <w:szCs w:val="28"/>
      <w:u w:val="none"/>
      <w:effect w:val="none"/>
    </w:rPr>
  </w:style>
  <w:style w:type="character" w:customStyle="1" w:styleId="unnamed21">
    <w:name w:val="unnamed21"/>
    <w:basedOn w:val="a0"/>
    <w:rPr>
      <w:strike w:val="0"/>
      <w:dstrike w:val="0"/>
      <w:sz w:val="24"/>
      <w:szCs w:val="24"/>
      <w:u w:val="none"/>
      <w:effect w:val="none"/>
    </w:rPr>
  </w:style>
  <w:style w:type="character" w:customStyle="1" w:styleId="10p1">
    <w:name w:val="10p1"/>
    <w:basedOn w:val="a0"/>
    <w:rPr>
      <w:sz w:val="21"/>
      <w:szCs w:val="21"/>
    </w:rPr>
  </w:style>
  <w:style w:type="paragraph" w:styleId="30">
    <w:name w:val="Body Text 3"/>
    <w:basedOn w:val="a"/>
    <w:semiHidden/>
    <w:pPr>
      <w:spacing w:line="560" w:lineRule="atLeast"/>
      <w:ind w:rightChars="-259" w:right="-544"/>
    </w:pPr>
    <w:rPr>
      <w:rFonts w:ascii="黑体" w:eastAsia="黑体"/>
      <w:sz w:val="24"/>
    </w:rPr>
  </w:style>
  <w:style w:type="paragraph" w:styleId="ab">
    <w:name w:val="Body Text"/>
    <w:basedOn w:val="a"/>
    <w:semiHidden/>
    <w:pPr>
      <w:adjustRightInd w:val="0"/>
      <w:snapToGrid w:val="0"/>
      <w:spacing w:line="480" w:lineRule="auto"/>
      <w:ind w:rightChars="310" w:right="706"/>
      <w:jc w:val="center"/>
    </w:pPr>
    <w:rPr>
      <w:rFonts w:ascii="宋体" w:eastAsia="宋体"/>
      <w:sz w:val="44"/>
      <w:szCs w:val="44"/>
    </w:rPr>
  </w:style>
  <w:style w:type="paragraph" w:styleId="20">
    <w:name w:val="Body Text 2"/>
    <w:basedOn w:val="a"/>
    <w:semiHidden/>
    <w:pPr>
      <w:spacing w:line="580" w:lineRule="exact"/>
      <w:jc w:val="center"/>
    </w:pPr>
    <w:rPr>
      <w:rFonts w:eastAsia="方正小标宋简体"/>
      <w:sz w:val="44"/>
    </w:rPr>
  </w:style>
  <w:style w:type="paragraph" w:customStyle="1" w:styleId="31">
    <w:name w:val="标题3"/>
    <w:basedOn w:val="a"/>
    <w:next w:val="a"/>
    <w:pPr>
      <w:autoSpaceDE w:val="0"/>
      <w:autoSpaceDN w:val="0"/>
      <w:snapToGrid w:val="0"/>
      <w:spacing w:line="590" w:lineRule="atLeast"/>
      <w:ind w:firstLine="624"/>
    </w:pPr>
    <w:rPr>
      <w:rFonts w:ascii="方正黑体_GBK" w:eastAsia="方正黑体_GBK"/>
      <w:snapToGrid w:val="0"/>
      <w:szCs w:val="20"/>
    </w:rPr>
  </w:style>
  <w:style w:type="paragraph" w:styleId="ac">
    <w:name w:val="Plain Text"/>
    <w:basedOn w:val="a"/>
    <w:rPr>
      <w:rFonts w:ascii="宋体" w:eastAsia="宋体" w:hAnsi="Courier New"/>
      <w:sz w:val="21"/>
      <w:szCs w:val="20"/>
    </w:rPr>
  </w:style>
  <w:style w:type="character" w:customStyle="1" w:styleId="Char0">
    <w:name w:val="纯文本 Char"/>
    <w:basedOn w:val="a0"/>
    <w:rPr>
      <w:rFonts w:ascii="宋体" w:hAnsi="Courier New"/>
      <w:kern w:val="2"/>
      <w:sz w:val="21"/>
    </w:rPr>
  </w:style>
  <w:style w:type="character" w:customStyle="1" w:styleId="p91">
    <w:name w:val="p91"/>
    <w:basedOn w:val="a0"/>
    <w:rPr>
      <w:b w:val="0"/>
      <w:bCs w:val="0"/>
      <w:strike w:val="0"/>
      <w:dstrike w:val="0"/>
      <w:color w:val="000000"/>
      <w:sz w:val="18"/>
      <w:szCs w:val="18"/>
      <w:u w:val="none"/>
      <w:effect w:val="none"/>
    </w:rPr>
  </w:style>
  <w:style w:type="paragraph" w:customStyle="1" w:styleId="CharCharCharChar">
    <w:name w:val="Char Char Char Char"/>
    <w:basedOn w:val="a"/>
    <w:autoRedefine/>
    <w:rsid w:val="00E16B61"/>
    <w:pPr>
      <w:numPr>
        <w:numId w:val="1"/>
      </w:numPr>
    </w:pPr>
    <w:rPr>
      <w:rFonts w:eastAsia="宋体"/>
      <w:sz w:val="24"/>
    </w:rPr>
  </w:style>
  <w:style w:type="paragraph" w:customStyle="1" w:styleId="Char2CharCharChar">
    <w:name w:val="Char2 Char Char Char"/>
    <w:basedOn w:val="a"/>
    <w:rsid w:val="0065433A"/>
    <w:rPr>
      <w:rFonts w:ascii="Tahoma" w:eastAsia="宋体" w:hAnsi="Tahoma"/>
      <w:sz w:val="24"/>
      <w:szCs w:val="20"/>
    </w:rPr>
  </w:style>
  <w:style w:type="paragraph" w:customStyle="1" w:styleId="Char1">
    <w:name w:val="Char1"/>
    <w:basedOn w:val="a"/>
    <w:rsid w:val="0047105E"/>
    <w:rPr>
      <w:rFonts w:eastAsia="宋体"/>
      <w:sz w:val="21"/>
    </w:rPr>
  </w:style>
  <w:style w:type="character" w:customStyle="1" w:styleId="Char">
    <w:name w:val="页眉 Char"/>
    <w:basedOn w:val="a0"/>
    <w:link w:val="a5"/>
    <w:rsid w:val="0047105E"/>
    <w:rPr>
      <w:rFonts w:eastAsia="文鼎CS仿宋体"/>
      <w:spacing w:val="-4"/>
      <w:kern w:val="2"/>
      <w:sz w:val="18"/>
      <w:szCs w:val="18"/>
    </w:rPr>
  </w:style>
  <w:style w:type="paragraph" w:customStyle="1" w:styleId="Web">
    <w:name w:val="普通 (Web)"/>
    <w:basedOn w:val="a"/>
    <w:rsid w:val="00CC5C33"/>
    <w:pPr>
      <w:widowControl/>
      <w:spacing w:before="100" w:beforeAutospacing="1" w:after="100" w:afterAutospacing="1"/>
      <w:jc w:val="left"/>
    </w:pPr>
    <w:rPr>
      <w:rFonts w:ascii="宋体" w:eastAsia="宋体" w:hAnsi="宋体"/>
      <w:sz w:val="24"/>
    </w:rPr>
  </w:style>
  <w:style w:type="table" w:styleId="ad">
    <w:name w:val="Table Grid"/>
    <w:basedOn w:val="a1"/>
    <w:uiPriority w:val="59"/>
    <w:rsid w:val="00AE2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标题1"/>
    <w:basedOn w:val="a"/>
    <w:next w:val="a"/>
    <w:rsid w:val="00171838"/>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CharCharCharCharCharCharChar">
    <w:name w:val="Char Char Char Char Char Char Char"/>
    <w:basedOn w:val="a"/>
    <w:rsid w:val="00C21997"/>
    <w:pPr>
      <w:widowControl/>
      <w:spacing w:after="160" w:line="240" w:lineRule="exact"/>
      <w:jc w:val="left"/>
    </w:pPr>
    <w:rPr>
      <w:rFonts w:eastAsia="宋体"/>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wen\AppData\Roaming\Microsoft\Templates\&#33487;&#24220;&#35268;&#2338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苏府规字</Template>
  <TotalTime>7</TotalTime>
  <Pages>10</Pages>
  <Words>751</Words>
  <Characters>4282</Characters>
  <Application>Microsoft Office Word</Application>
  <DocSecurity>0</DocSecurity>
  <Lines>35</Lines>
  <Paragraphs>10</Paragraphs>
  <ScaleCrop>false</ScaleCrop>
  <Company>jgys</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苏府规字</dc:title>
  <dc:creator>王悦</dc:creator>
  <cp:lastModifiedBy>王悦</cp:lastModifiedBy>
  <cp:revision>4</cp:revision>
  <cp:lastPrinted>2025-12-31T01:56:00Z</cp:lastPrinted>
  <dcterms:created xsi:type="dcterms:W3CDTF">2025-12-31T01:49:00Z</dcterms:created>
  <dcterms:modified xsi:type="dcterms:W3CDTF">2025-12-31T01:56:00Z</dcterms:modified>
</cp:coreProperties>
</file>